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E3E" w:rsidRDefault="00050E3E">
      <w:pPr>
        <w:spacing w:line="360" w:lineRule="auto"/>
        <w:jc w:val="center"/>
        <w:rPr>
          <w:lang w:val="en-GB"/>
        </w:rPr>
      </w:pPr>
      <w:r>
        <w:rPr>
          <w:lang w:val="en-GB"/>
        </w:rPr>
        <w:t xml:space="preserve">THE RECEPTION OF </w:t>
      </w:r>
      <w:r>
        <w:rPr>
          <w:i/>
          <w:lang w:val="en-GB"/>
        </w:rPr>
        <w:t>PARADEIGMA</w:t>
      </w:r>
      <w:r>
        <w:rPr>
          <w:lang w:val="en-GB"/>
        </w:rPr>
        <w:t xml:space="preserve"> IN LATE GREEK RHETORICAL THEORY</w:t>
      </w:r>
      <w:r>
        <w:rPr>
          <w:rStyle w:val="Refdenotaalpie1"/>
        </w:rPr>
        <w:footnoteReference w:id="1"/>
      </w:r>
    </w:p>
    <w:p w:rsidR="005117F0" w:rsidRDefault="005117F0">
      <w:pPr>
        <w:spacing w:line="360" w:lineRule="auto"/>
        <w:jc w:val="center"/>
        <w:rPr>
          <w:lang w:val="en-GB"/>
        </w:rPr>
      </w:pPr>
    </w:p>
    <w:p w:rsidR="005117F0" w:rsidRDefault="005117F0">
      <w:pPr>
        <w:spacing w:line="360" w:lineRule="auto"/>
        <w:jc w:val="center"/>
        <w:rPr>
          <w:lang w:val="en-GB"/>
        </w:rPr>
      </w:pPr>
      <w:r>
        <w:rPr>
          <w:lang w:val="en-GB"/>
        </w:rPr>
        <w:t>M. Carmen Encinas Reguero</w:t>
      </w:r>
    </w:p>
    <w:p w:rsidR="005117F0" w:rsidRDefault="005117F0">
      <w:pPr>
        <w:spacing w:line="360" w:lineRule="auto"/>
        <w:jc w:val="center"/>
        <w:rPr>
          <w:lang w:val="en-GB"/>
        </w:rPr>
      </w:pPr>
      <w:r>
        <w:rPr>
          <w:lang w:val="en-GB"/>
        </w:rPr>
        <w:t>University of the Basque Country</w:t>
      </w:r>
    </w:p>
    <w:p w:rsidR="00050E3E" w:rsidRDefault="00050E3E">
      <w:pPr>
        <w:spacing w:line="360" w:lineRule="auto"/>
        <w:jc w:val="center"/>
        <w:rPr>
          <w:lang w:val="en-GB"/>
        </w:rPr>
      </w:pPr>
    </w:p>
    <w:p w:rsidR="00050E3E" w:rsidRDefault="00050E3E">
      <w:pPr>
        <w:ind w:left="357" w:right="403"/>
        <w:jc w:val="both"/>
        <w:rPr>
          <w:sz w:val="22"/>
          <w:szCs w:val="22"/>
          <w:lang w:val="en-GB"/>
        </w:rPr>
      </w:pPr>
      <w:r w:rsidRPr="00E46C70">
        <w:rPr>
          <w:i/>
          <w:sz w:val="22"/>
          <w:szCs w:val="22"/>
          <w:lang w:val="en-GB"/>
        </w:rPr>
        <w:t>Abstract</w:t>
      </w:r>
      <w:r>
        <w:rPr>
          <w:sz w:val="22"/>
          <w:szCs w:val="22"/>
          <w:lang w:val="en-GB"/>
        </w:rPr>
        <w:t xml:space="preserve">: It seems that from its inception rhetoric </w:t>
      </w:r>
      <w:r w:rsidR="00D66499">
        <w:rPr>
          <w:sz w:val="22"/>
          <w:szCs w:val="22"/>
          <w:lang w:val="en-GB"/>
        </w:rPr>
        <w:t>generated</w:t>
      </w:r>
      <w:r>
        <w:rPr>
          <w:sz w:val="22"/>
          <w:szCs w:val="22"/>
          <w:lang w:val="en-GB"/>
        </w:rPr>
        <w:t xml:space="preserve"> treatises where technical advice was given about the use of that </w:t>
      </w:r>
      <w:r>
        <w:rPr>
          <w:i/>
          <w:sz w:val="22"/>
          <w:szCs w:val="22"/>
          <w:lang w:val="en-GB"/>
        </w:rPr>
        <w:t>techne</w:t>
      </w:r>
      <w:r>
        <w:rPr>
          <w:sz w:val="22"/>
          <w:szCs w:val="22"/>
          <w:lang w:val="en-GB"/>
        </w:rPr>
        <w:t xml:space="preserve">. Although many of these treatises are lost, a good </w:t>
      </w:r>
      <w:r w:rsidR="001B2356">
        <w:rPr>
          <w:sz w:val="22"/>
          <w:szCs w:val="22"/>
          <w:lang w:val="en-GB"/>
        </w:rPr>
        <w:t xml:space="preserve">number </w:t>
      </w:r>
      <w:r>
        <w:rPr>
          <w:sz w:val="22"/>
          <w:szCs w:val="22"/>
          <w:lang w:val="en-GB"/>
        </w:rPr>
        <w:t xml:space="preserve">of them are still preserved, and through them it is possible to understand the development of the rhetorical art and also to catch a glimpse of ancient reflections </w:t>
      </w:r>
      <w:r w:rsidR="001B2356">
        <w:rPr>
          <w:sz w:val="22"/>
          <w:szCs w:val="22"/>
          <w:lang w:val="en-GB"/>
        </w:rPr>
        <w:t xml:space="preserve">on </w:t>
      </w:r>
      <w:r>
        <w:rPr>
          <w:sz w:val="22"/>
          <w:szCs w:val="22"/>
          <w:lang w:val="en-GB"/>
        </w:rPr>
        <w:t xml:space="preserve">the art of rhetoric and of the discussions that </w:t>
      </w:r>
      <w:r w:rsidR="001B2356">
        <w:rPr>
          <w:sz w:val="22"/>
          <w:szCs w:val="22"/>
          <w:lang w:val="en-GB"/>
        </w:rPr>
        <w:t xml:space="preserve">were </w:t>
      </w:r>
      <w:r>
        <w:rPr>
          <w:sz w:val="22"/>
          <w:szCs w:val="22"/>
          <w:lang w:val="en-GB"/>
        </w:rPr>
        <w:t xml:space="preserve">probably raised about certain of its aspects. Among the rhetorical proofs, the </w:t>
      </w:r>
      <w:r>
        <w:rPr>
          <w:i/>
          <w:sz w:val="22"/>
          <w:szCs w:val="22"/>
          <w:lang w:val="en-GB"/>
        </w:rPr>
        <w:t>paradeigma</w:t>
      </w:r>
      <w:r>
        <w:rPr>
          <w:sz w:val="22"/>
          <w:szCs w:val="22"/>
          <w:lang w:val="en-GB"/>
        </w:rPr>
        <w:t xml:space="preserve"> or example </w:t>
      </w:r>
      <w:r w:rsidR="009104DE">
        <w:rPr>
          <w:sz w:val="22"/>
          <w:szCs w:val="22"/>
          <w:lang w:val="en-GB"/>
        </w:rPr>
        <w:t xml:space="preserve">surely had </w:t>
      </w:r>
      <w:r>
        <w:rPr>
          <w:sz w:val="22"/>
          <w:szCs w:val="22"/>
          <w:lang w:val="en-GB"/>
        </w:rPr>
        <w:t xml:space="preserve">an essential role from the very beginning, since it is one of the most </w:t>
      </w:r>
      <w:r w:rsidR="00BE30D2">
        <w:rPr>
          <w:sz w:val="22"/>
          <w:szCs w:val="22"/>
          <w:lang w:val="en-GB"/>
        </w:rPr>
        <w:t>salien</w:t>
      </w:r>
      <w:r>
        <w:rPr>
          <w:sz w:val="22"/>
          <w:szCs w:val="22"/>
          <w:lang w:val="en-GB"/>
        </w:rPr>
        <w:t xml:space="preserve">t proofs in the preserved rhetorical handbooks of the </w:t>
      </w:r>
      <w:r w:rsidR="006559BE">
        <w:rPr>
          <w:sz w:val="22"/>
          <w:szCs w:val="22"/>
          <w:lang w:val="en-GB"/>
        </w:rPr>
        <w:t>C</w:t>
      </w:r>
      <w:r>
        <w:rPr>
          <w:sz w:val="22"/>
          <w:szCs w:val="22"/>
          <w:lang w:val="en-GB"/>
        </w:rPr>
        <w:t xml:space="preserve">lassical period, that is, in the </w:t>
      </w:r>
      <w:r>
        <w:rPr>
          <w:i/>
          <w:sz w:val="22"/>
          <w:szCs w:val="22"/>
          <w:lang w:val="en-GB"/>
        </w:rPr>
        <w:t>Rhetoric to Alexander</w:t>
      </w:r>
      <w:r>
        <w:rPr>
          <w:sz w:val="22"/>
          <w:szCs w:val="22"/>
          <w:lang w:val="en-GB"/>
        </w:rPr>
        <w:t xml:space="preserve"> and in Aristotle’s </w:t>
      </w:r>
      <w:r>
        <w:rPr>
          <w:i/>
          <w:sz w:val="22"/>
          <w:szCs w:val="22"/>
          <w:lang w:val="en-GB"/>
        </w:rPr>
        <w:t>Rhetoric</w:t>
      </w:r>
      <w:r>
        <w:rPr>
          <w:sz w:val="22"/>
          <w:szCs w:val="22"/>
          <w:lang w:val="en-GB"/>
        </w:rPr>
        <w:t xml:space="preserve">. Although not exclusively, there are essentially three aspects of the </w:t>
      </w:r>
      <w:r>
        <w:rPr>
          <w:i/>
          <w:sz w:val="22"/>
          <w:szCs w:val="22"/>
          <w:lang w:val="en-GB"/>
        </w:rPr>
        <w:t>paradeigma</w:t>
      </w:r>
      <w:r>
        <w:rPr>
          <w:sz w:val="22"/>
          <w:szCs w:val="22"/>
          <w:lang w:val="en-GB"/>
        </w:rPr>
        <w:t xml:space="preserve"> which hold the attention of the authors of rhetorical treatises, namely its function, its contents (including the relation between </w:t>
      </w:r>
      <w:r>
        <w:rPr>
          <w:i/>
          <w:sz w:val="22"/>
          <w:szCs w:val="22"/>
          <w:lang w:val="en-GB"/>
        </w:rPr>
        <w:t>paradeigma</w:t>
      </w:r>
      <w:r>
        <w:rPr>
          <w:sz w:val="22"/>
          <w:szCs w:val="22"/>
          <w:lang w:val="en-GB"/>
        </w:rPr>
        <w:t xml:space="preserve"> or example and </w:t>
      </w:r>
      <w:r>
        <w:rPr>
          <w:i/>
          <w:sz w:val="22"/>
          <w:szCs w:val="22"/>
          <w:lang w:val="en-GB"/>
        </w:rPr>
        <w:t>parabole</w:t>
      </w:r>
      <w:r>
        <w:rPr>
          <w:sz w:val="22"/>
          <w:szCs w:val="22"/>
          <w:lang w:val="en-GB"/>
        </w:rPr>
        <w:t xml:space="preserve"> or comparison) and the </w:t>
      </w:r>
      <w:r w:rsidR="009104DE">
        <w:rPr>
          <w:sz w:val="22"/>
          <w:szCs w:val="22"/>
          <w:lang w:val="en-GB"/>
        </w:rPr>
        <w:t xml:space="preserve">methods </w:t>
      </w:r>
      <w:r>
        <w:rPr>
          <w:sz w:val="22"/>
          <w:szCs w:val="22"/>
          <w:lang w:val="en-GB"/>
        </w:rPr>
        <w:t xml:space="preserve">of refutation. In comparison with the handbooks of the </w:t>
      </w:r>
      <w:r w:rsidR="006559BE">
        <w:rPr>
          <w:sz w:val="22"/>
          <w:szCs w:val="22"/>
          <w:lang w:val="en-GB"/>
        </w:rPr>
        <w:t>C</w:t>
      </w:r>
      <w:r>
        <w:rPr>
          <w:sz w:val="22"/>
          <w:szCs w:val="22"/>
          <w:lang w:val="en-GB"/>
        </w:rPr>
        <w:t xml:space="preserve">lassical period, the </w:t>
      </w:r>
      <w:r w:rsidR="009104DE">
        <w:rPr>
          <w:sz w:val="22"/>
          <w:szCs w:val="22"/>
          <w:lang w:val="en-GB"/>
        </w:rPr>
        <w:t xml:space="preserve">methods </w:t>
      </w:r>
      <w:r>
        <w:rPr>
          <w:sz w:val="22"/>
          <w:szCs w:val="22"/>
          <w:lang w:val="en-GB"/>
        </w:rPr>
        <w:t xml:space="preserve">of refutation are expanded in the treatises of the </w:t>
      </w:r>
      <w:r w:rsidR="006559BE">
        <w:rPr>
          <w:sz w:val="22"/>
          <w:szCs w:val="22"/>
          <w:lang w:val="en-GB"/>
        </w:rPr>
        <w:t>L</w:t>
      </w:r>
      <w:r>
        <w:rPr>
          <w:sz w:val="22"/>
          <w:szCs w:val="22"/>
          <w:lang w:val="en-GB"/>
        </w:rPr>
        <w:t xml:space="preserve">ate period. The relation between </w:t>
      </w:r>
      <w:r>
        <w:rPr>
          <w:i/>
          <w:sz w:val="22"/>
          <w:szCs w:val="22"/>
          <w:lang w:val="en-GB"/>
        </w:rPr>
        <w:t>paradeigma</w:t>
      </w:r>
      <w:r>
        <w:rPr>
          <w:sz w:val="22"/>
          <w:szCs w:val="22"/>
          <w:lang w:val="en-GB"/>
        </w:rPr>
        <w:t xml:space="preserve"> and </w:t>
      </w:r>
      <w:r>
        <w:rPr>
          <w:i/>
          <w:sz w:val="22"/>
          <w:szCs w:val="22"/>
          <w:lang w:val="en-GB"/>
        </w:rPr>
        <w:t>parabole</w:t>
      </w:r>
      <w:r>
        <w:rPr>
          <w:sz w:val="22"/>
          <w:szCs w:val="22"/>
          <w:lang w:val="en-GB"/>
        </w:rPr>
        <w:t xml:space="preserve">, announced by Aristotle but omitted in the </w:t>
      </w:r>
      <w:r>
        <w:rPr>
          <w:i/>
          <w:sz w:val="22"/>
          <w:szCs w:val="22"/>
          <w:lang w:val="en-GB"/>
        </w:rPr>
        <w:t>Rhetoric to Alexander</w:t>
      </w:r>
      <w:r>
        <w:rPr>
          <w:sz w:val="22"/>
          <w:szCs w:val="22"/>
          <w:lang w:val="en-GB"/>
        </w:rPr>
        <w:t xml:space="preserve">, is </w:t>
      </w:r>
      <w:r w:rsidR="00A3791C" w:rsidRPr="008763CA">
        <w:rPr>
          <w:sz w:val="22"/>
          <w:szCs w:val="22"/>
          <w:lang w:val="en-GB"/>
        </w:rPr>
        <w:t>discussed</w:t>
      </w:r>
      <w:r>
        <w:rPr>
          <w:sz w:val="22"/>
          <w:szCs w:val="22"/>
          <w:lang w:val="en-GB"/>
        </w:rPr>
        <w:t xml:space="preserve">, and the </w:t>
      </w:r>
      <w:r>
        <w:rPr>
          <w:i/>
          <w:sz w:val="22"/>
          <w:szCs w:val="22"/>
          <w:lang w:val="en-GB"/>
        </w:rPr>
        <w:t>paradeigma</w:t>
      </w:r>
      <w:r>
        <w:rPr>
          <w:sz w:val="22"/>
          <w:szCs w:val="22"/>
          <w:lang w:val="en-GB"/>
        </w:rPr>
        <w:t xml:space="preserve">’s function, </w:t>
      </w:r>
      <w:r w:rsidR="009104DE">
        <w:rPr>
          <w:sz w:val="22"/>
          <w:szCs w:val="22"/>
          <w:lang w:val="en-GB"/>
        </w:rPr>
        <w:t xml:space="preserve">which </w:t>
      </w:r>
      <w:r>
        <w:rPr>
          <w:sz w:val="22"/>
          <w:szCs w:val="22"/>
          <w:lang w:val="en-GB"/>
        </w:rPr>
        <w:t xml:space="preserve">in the </w:t>
      </w:r>
      <w:r w:rsidR="006559BE">
        <w:rPr>
          <w:sz w:val="22"/>
          <w:szCs w:val="22"/>
          <w:lang w:val="en-GB"/>
        </w:rPr>
        <w:t>C</w:t>
      </w:r>
      <w:r>
        <w:rPr>
          <w:sz w:val="22"/>
          <w:szCs w:val="22"/>
          <w:lang w:val="en-GB"/>
        </w:rPr>
        <w:t xml:space="preserve">lassical period was mainly argumentative, is maintained in the late treatises, but with time </w:t>
      </w:r>
      <w:r w:rsidR="009104DE">
        <w:rPr>
          <w:sz w:val="22"/>
          <w:szCs w:val="22"/>
          <w:lang w:val="en-GB"/>
        </w:rPr>
        <w:t xml:space="preserve">its </w:t>
      </w:r>
      <w:r>
        <w:rPr>
          <w:sz w:val="22"/>
          <w:szCs w:val="22"/>
          <w:lang w:val="en-GB"/>
        </w:rPr>
        <w:t>exhortative function, which will prevail in the medieval period</w:t>
      </w:r>
      <w:r w:rsidR="009104DE">
        <w:rPr>
          <w:sz w:val="22"/>
          <w:szCs w:val="22"/>
          <w:lang w:val="en-GB"/>
        </w:rPr>
        <w:t>, develops</w:t>
      </w:r>
      <w:r>
        <w:rPr>
          <w:sz w:val="22"/>
          <w:szCs w:val="22"/>
          <w:lang w:val="en-GB"/>
        </w:rPr>
        <w:t>.</w:t>
      </w:r>
    </w:p>
    <w:p w:rsidR="00E46C70" w:rsidRDefault="00E46C70">
      <w:pPr>
        <w:ind w:left="357" w:right="403"/>
        <w:jc w:val="both"/>
        <w:rPr>
          <w:sz w:val="22"/>
          <w:szCs w:val="22"/>
          <w:lang w:val="en-GB"/>
        </w:rPr>
      </w:pPr>
    </w:p>
    <w:p w:rsidR="00E46C70" w:rsidRDefault="00E46C70" w:rsidP="00E46C70">
      <w:pPr>
        <w:ind w:left="357" w:right="403"/>
        <w:jc w:val="both"/>
        <w:rPr>
          <w:sz w:val="22"/>
          <w:szCs w:val="22"/>
          <w:lang w:val="en-GB"/>
        </w:rPr>
      </w:pPr>
      <w:r w:rsidRPr="00E46C70">
        <w:rPr>
          <w:i/>
          <w:sz w:val="22"/>
          <w:szCs w:val="22"/>
          <w:lang w:val="en-GB"/>
        </w:rPr>
        <w:t>Keywords</w:t>
      </w:r>
      <w:r>
        <w:rPr>
          <w:sz w:val="22"/>
          <w:szCs w:val="22"/>
          <w:lang w:val="en-GB"/>
        </w:rPr>
        <w:t xml:space="preserve">: rhetoric, </w:t>
      </w:r>
      <w:r w:rsidRPr="00E46C70">
        <w:rPr>
          <w:i/>
          <w:sz w:val="22"/>
          <w:szCs w:val="22"/>
          <w:lang w:val="en-GB"/>
        </w:rPr>
        <w:t>paradeigma</w:t>
      </w:r>
      <w:r>
        <w:rPr>
          <w:sz w:val="22"/>
          <w:szCs w:val="22"/>
          <w:lang w:val="en-GB"/>
        </w:rPr>
        <w:t>, example, Aristotle, rhetorical handbook.</w:t>
      </w:r>
    </w:p>
    <w:p w:rsidR="00E46C70" w:rsidRPr="00E46C70" w:rsidRDefault="00E46C70" w:rsidP="00E46C70">
      <w:pPr>
        <w:ind w:left="357" w:right="403"/>
        <w:jc w:val="both"/>
        <w:rPr>
          <w:sz w:val="22"/>
          <w:szCs w:val="22"/>
          <w:lang w:val="en-GB"/>
        </w:rPr>
      </w:pPr>
      <w:r>
        <w:rPr>
          <w:i/>
          <w:sz w:val="22"/>
          <w:szCs w:val="22"/>
          <w:lang w:val="en-GB"/>
        </w:rPr>
        <w:t>Key passages</w:t>
      </w:r>
      <w:r>
        <w:rPr>
          <w:sz w:val="22"/>
          <w:szCs w:val="22"/>
          <w:lang w:val="en-GB"/>
        </w:rPr>
        <w:t xml:space="preserve">: </w:t>
      </w:r>
      <w:r w:rsidR="00DB11AE" w:rsidRPr="00DB11AE">
        <w:rPr>
          <w:i/>
          <w:sz w:val="22"/>
          <w:szCs w:val="22"/>
          <w:lang w:val="en-GB"/>
        </w:rPr>
        <w:t>Rhetoric to Alexander</w:t>
      </w:r>
      <w:r w:rsidR="00DB11AE">
        <w:rPr>
          <w:sz w:val="22"/>
          <w:szCs w:val="22"/>
          <w:lang w:val="en-GB"/>
        </w:rPr>
        <w:t xml:space="preserve"> </w:t>
      </w:r>
      <w:r w:rsidR="00DB11AE" w:rsidRPr="00E46C70">
        <w:rPr>
          <w:sz w:val="22"/>
          <w:szCs w:val="22"/>
          <w:lang w:val="en-GB"/>
        </w:rPr>
        <w:t>8.14, 1430a6-8</w:t>
      </w:r>
      <w:r w:rsidR="00DB11AE">
        <w:rPr>
          <w:sz w:val="22"/>
          <w:szCs w:val="22"/>
          <w:lang w:val="en-GB"/>
        </w:rPr>
        <w:t xml:space="preserve">; </w:t>
      </w:r>
      <w:r>
        <w:rPr>
          <w:sz w:val="22"/>
          <w:szCs w:val="22"/>
          <w:lang w:val="en-GB"/>
        </w:rPr>
        <w:t xml:space="preserve">Aristotle’s </w:t>
      </w:r>
      <w:r w:rsidRPr="00E46C70">
        <w:rPr>
          <w:i/>
          <w:sz w:val="22"/>
          <w:szCs w:val="22"/>
          <w:lang w:val="en-GB"/>
        </w:rPr>
        <w:t>Rhetoric</w:t>
      </w:r>
      <w:r>
        <w:rPr>
          <w:sz w:val="22"/>
          <w:szCs w:val="22"/>
          <w:lang w:val="en-GB"/>
        </w:rPr>
        <w:t xml:space="preserve"> </w:t>
      </w:r>
      <w:r w:rsidRPr="00E46C70">
        <w:rPr>
          <w:sz w:val="22"/>
          <w:szCs w:val="22"/>
          <w:lang w:val="en-GB"/>
        </w:rPr>
        <w:t>1.2, 1356b6-8</w:t>
      </w:r>
      <w:r w:rsidR="00DB11AE">
        <w:rPr>
          <w:sz w:val="22"/>
          <w:szCs w:val="22"/>
          <w:lang w:val="en-GB"/>
        </w:rPr>
        <w:t>;</w:t>
      </w:r>
      <w:r w:rsidRPr="00E46C70">
        <w:rPr>
          <w:sz w:val="22"/>
          <w:szCs w:val="22"/>
          <w:lang w:val="en-GB"/>
        </w:rPr>
        <w:t xml:space="preserve"> </w:t>
      </w:r>
      <w:r w:rsidR="00DB11AE">
        <w:rPr>
          <w:sz w:val="22"/>
          <w:szCs w:val="22"/>
          <w:lang w:val="en-GB"/>
        </w:rPr>
        <w:t xml:space="preserve">Aristotle’s </w:t>
      </w:r>
      <w:r w:rsidR="00DB11AE" w:rsidRPr="00E46C70">
        <w:rPr>
          <w:i/>
          <w:sz w:val="22"/>
          <w:szCs w:val="22"/>
          <w:lang w:val="en-GB"/>
        </w:rPr>
        <w:t>Rhetoric</w:t>
      </w:r>
      <w:r w:rsidR="00DB11AE">
        <w:rPr>
          <w:sz w:val="22"/>
          <w:szCs w:val="22"/>
          <w:lang w:val="en-GB"/>
        </w:rPr>
        <w:t xml:space="preserve"> </w:t>
      </w:r>
      <w:r w:rsidR="00DB11AE" w:rsidRPr="00E46C70">
        <w:rPr>
          <w:sz w:val="22"/>
          <w:szCs w:val="22"/>
          <w:lang w:val="en-GB"/>
        </w:rPr>
        <w:t>1.2, 1357b28-30</w:t>
      </w:r>
      <w:r w:rsidR="00DB11AE">
        <w:rPr>
          <w:sz w:val="22"/>
          <w:szCs w:val="22"/>
          <w:lang w:val="en-GB"/>
        </w:rPr>
        <w:t xml:space="preserve">; Aristotle’s </w:t>
      </w:r>
      <w:r w:rsidR="00DB11AE" w:rsidRPr="00E46C70">
        <w:rPr>
          <w:i/>
          <w:sz w:val="22"/>
          <w:szCs w:val="22"/>
          <w:lang w:val="en-GB"/>
        </w:rPr>
        <w:t>Rhetoric</w:t>
      </w:r>
      <w:r w:rsidR="00DB11AE">
        <w:rPr>
          <w:sz w:val="22"/>
          <w:szCs w:val="22"/>
          <w:lang w:val="en-GB"/>
        </w:rPr>
        <w:t xml:space="preserve"> </w:t>
      </w:r>
      <w:r w:rsidR="00DB11AE" w:rsidRPr="00E46C70">
        <w:rPr>
          <w:sz w:val="22"/>
          <w:szCs w:val="22"/>
          <w:lang w:val="en-GB"/>
        </w:rPr>
        <w:t>2.20, 1393a28-31</w:t>
      </w:r>
      <w:r w:rsidR="00DB11AE">
        <w:rPr>
          <w:sz w:val="22"/>
          <w:szCs w:val="22"/>
          <w:lang w:val="en-GB"/>
        </w:rPr>
        <w:t xml:space="preserve">; </w:t>
      </w:r>
      <w:r w:rsidRPr="00E46C70">
        <w:rPr>
          <w:sz w:val="22"/>
          <w:szCs w:val="22"/>
          <w:lang w:val="en-GB"/>
        </w:rPr>
        <w:t xml:space="preserve">Aristotle’s </w:t>
      </w:r>
      <w:r w:rsidRPr="00E46C70">
        <w:rPr>
          <w:i/>
          <w:sz w:val="22"/>
          <w:szCs w:val="22"/>
          <w:lang w:val="en-GB"/>
        </w:rPr>
        <w:t>Rhetoric</w:t>
      </w:r>
      <w:r w:rsidRPr="00E46C70">
        <w:rPr>
          <w:sz w:val="22"/>
          <w:szCs w:val="22"/>
          <w:lang w:val="en-GB"/>
        </w:rPr>
        <w:t xml:space="preserve"> 2.25, 1402b13-14</w:t>
      </w:r>
      <w:r w:rsidR="00DB11AE">
        <w:rPr>
          <w:sz w:val="22"/>
          <w:szCs w:val="22"/>
          <w:lang w:val="en-GB"/>
        </w:rPr>
        <w:t>.</w:t>
      </w:r>
    </w:p>
    <w:p w:rsidR="00E46C70" w:rsidRPr="00E46C70" w:rsidRDefault="00E46C70" w:rsidP="00E46C70">
      <w:pPr>
        <w:ind w:left="357" w:right="403"/>
        <w:jc w:val="both"/>
        <w:rPr>
          <w:sz w:val="22"/>
          <w:szCs w:val="22"/>
          <w:lang w:val="en-GB"/>
        </w:rPr>
      </w:pPr>
    </w:p>
    <w:p w:rsidR="00050E3E" w:rsidRDefault="00050E3E">
      <w:pPr>
        <w:spacing w:line="360" w:lineRule="auto"/>
        <w:jc w:val="center"/>
        <w:rPr>
          <w:lang w:val="en-GB"/>
        </w:rPr>
      </w:pPr>
      <w:r>
        <w:rPr>
          <w:lang w:val="en-GB"/>
        </w:rPr>
        <w:tab/>
      </w:r>
    </w:p>
    <w:p w:rsidR="00AB475E" w:rsidRPr="008763CA" w:rsidRDefault="00AB475E" w:rsidP="00AB475E">
      <w:pPr>
        <w:spacing w:line="360" w:lineRule="auto"/>
        <w:ind w:firstLine="708"/>
        <w:jc w:val="both"/>
        <w:rPr>
          <w:lang w:val="en-GB"/>
        </w:rPr>
      </w:pPr>
      <w:r w:rsidRPr="008763CA">
        <w:rPr>
          <w:lang w:val="en-GB"/>
        </w:rPr>
        <w:t xml:space="preserve">It is usually accepted that rhetoric as </w:t>
      </w:r>
      <w:r w:rsidRPr="008763CA">
        <w:rPr>
          <w:i/>
          <w:lang w:val="en-GB"/>
        </w:rPr>
        <w:t>techne</w:t>
      </w:r>
      <w:r w:rsidRPr="008763CA">
        <w:rPr>
          <w:lang w:val="en-GB"/>
        </w:rPr>
        <w:t>, understood as an ensemble of rules which are consciously applied to reach the desired target, emerge</w:t>
      </w:r>
      <w:r w:rsidR="00E21C1E">
        <w:rPr>
          <w:lang w:val="en-GB"/>
        </w:rPr>
        <w:t>d</w:t>
      </w:r>
      <w:r w:rsidRPr="008763CA">
        <w:rPr>
          <w:lang w:val="en-GB"/>
        </w:rPr>
        <w:t xml:space="preserve"> in the 5</w:t>
      </w:r>
      <w:r w:rsidRPr="008763CA">
        <w:rPr>
          <w:vertAlign w:val="superscript"/>
          <w:lang w:val="en-GB"/>
        </w:rPr>
        <w:t>th</w:t>
      </w:r>
      <w:r w:rsidRPr="008763CA">
        <w:rPr>
          <w:lang w:val="en-GB"/>
        </w:rPr>
        <w:t xml:space="preserve"> century BC</w:t>
      </w:r>
      <w:r w:rsidRPr="008763CA">
        <w:rPr>
          <w:rStyle w:val="FootnoteCharacters"/>
        </w:rPr>
        <w:footnoteReference w:id="2"/>
      </w:r>
      <w:r w:rsidRPr="008763CA">
        <w:rPr>
          <w:lang w:val="en-GB"/>
        </w:rPr>
        <w:t xml:space="preserve"> in Syracuse</w:t>
      </w:r>
      <w:r w:rsidR="008763CA">
        <w:rPr>
          <w:lang w:val="en-GB"/>
        </w:rPr>
        <w:t>,</w:t>
      </w:r>
      <w:r w:rsidRPr="008763CA">
        <w:rPr>
          <w:lang w:val="en-GB"/>
        </w:rPr>
        <w:t xml:space="preserve"> and from there soon passed to Athens.</w:t>
      </w:r>
    </w:p>
    <w:p w:rsidR="00AB475E" w:rsidRPr="00557F95" w:rsidRDefault="00AB475E" w:rsidP="00AB475E">
      <w:pPr>
        <w:spacing w:line="360" w:lineRule="auto"/>
        <w:ind w:firstLine="708"/>
        <w:jc w:val="both"/>
        <w:rPr>
          <w:highlight w:val="yellow"/>
          <w:lang w:val="en-GB"/>
        </w:rPr>
      </w:pPr>
      <w:r w:rsidRPr="008763CA">
        <w:rPr>
          <w:lang w:val="en-GB"/>
        </w:rPr>
        <w:t>The first handbook of rhetoric is attributed to Corax and Tisias</w:t>
      </w:r>
      <w:r w:rsidRPr="008763CA">
        <w:rPr>
          <w:rStyle w:val="FootnoteCharacters"/>
        </w:rPr>
        <w:footnoteReference w:id="3"/>
      </w:r>
      <w:r w:rsidRPr="008763CA">
        <w:rPr>
          <w:lang w:val="en-GB"/>
        </w:rPr>
        <w:t xml:space="preserve"> (Cic., </w:t>
      </w:r>
      <w:r w:rsidRPr="008763CA">
        <w:rPr>
          <w:i/>
          <w:lang w:val="en-GB"/>
        </w:rPr>
        <w:t>Brut.</w:t>
      </w:r>
      <w:r w:rsidRPr="008763CA">
        <w:rPr>
          <w:lang w:val="en-GB"/>
        </w:rPr>
        <w:t xml:space="preserve"> 46-48),</w:t>
      </w:r>
      <w:r w:rsidRPr="008763CA">
        <w:rPr>
          <w:rStyle w:val="FootnoteCharacters"/>
        </w:rPr>
        <w:footnoteReference w:id="4"/>
      </w:r>
      <w:r w:rsidRPr="008763CA">
        <w:rPr>
          <w:lang w:val="en-GB"/>
        </w:rPr>
        <w:t xml:space="preserve"> both of them linked to the birth of rhetoric in Syracuse. However, it seems that in the 5</w:t>
      </w:r>
      <w:r w:rsidRPr="008763CA">
        <w:rPr>
          <w:vertAlign w:val="superscript"/>
          <w:lang w:val="en-GB"/>
        </w:rPr>
        <w:t>th</w:t>
      </w:r>
      <w:r w:rsidRPr="008763CA">
        <w:rPr>
          <w:lang w:val="en-GB"/>
        </w:rPr>
        <w:t xml:space="preserve"> century BC some other treatises of rhetoric were in existence too (cf., for example, Pl., </w:t>
      </w:r>
      <w:r w:rsidRPr="008763CA">
        <w:rPr>
          <w:i/>
          <w:lang w:val="en-GB"/>
        </w:rPr>
        <w:t>Phdr.</w:t>
      </w:r>
      <w:r w:rsidRPr="008763CA">
        <w:rPr>
          <w:lang w:val="en-GB"/>
        </w:rPr>
        <w:t xml:space="preserve"> 266d; Arist., </w:t>
      </w:r>
      <w:r w:rsidRPr="008763CA">
        <w:rPr>
          <w:i/>
          <w:lang w:val="en-GB"/>
        </w:rPr>
        <w:t>SE</w:t>
      </w:r>
      <w:r w:rsidRPr="008763CA">
        <w:rPr>
          <w:lang w:val="en-GB"/>
        </w:rPr>
        <w:t xml:space="preserve"> 184a-b; Isoc. 13.19). According to some scholars, these nascent </w:t>
      </w:r>
      <w:r w:rsidRPr="008763CA">
        <w:rPr>
          <w:i/>
          <w:lang w:val="en-GB"/>
        </w:rPr>
        <w:t>technai rhetorikai</w:t>
      </w:r>
      <w:r w:rsidRPr="008763CA">
        <w:rPr>
          <w:lang w:val="en-GB"/>
        </w:rPr>
        <w:t>, which, of course, are not preserved, were no more than model speeches.</w:t>
      </w:r>
      <w:r w:rsidRPr="008763CA">
        <w:rPr>
          <w:rStyle w:val="FootnoteCharacters"/>
        </w:rPr>
        <w:footnoteReference w:id="5"/>
      </w:r>
      <w:r w:rsidRPr="008763CA">
        <w:rPr>
          <w:lang w:val="en-GB"/>
        </w:rPr>
        <w:t xml:space="preserve"> Some other scholars, however, think that they already included theoretical teachings.</w:t>
      </w:r>
      <w:r w:rsidRPr="008763CA">
        <w:rPr>
          <w:rStyle w:val="FootnoteCharacters"/>
        </w:rPr>
        <w:footnoteReference w:id="6"/>
      </w:r>
      <w:r w:rsidRPr="008763CA">
        <w:rPr>
          <w:lang w:val="en-GB"/>
        </w:rPr>
        <w:t xml:space="preserve"> And </w:t>
      </w:r>
      <w:r w:rsidR="008763CA" w:rsidRPr="008763CA">
        <w:rPr>
          <w:lang w:val="en-GB"/>
        </w:rPr>
        <w:t>still others</w:t>
      </w:r>
      <w:r w:rsidRPr="008763CA">
        <w:rPr>
          <w:lang w:val="en-GB"/>
        </w:rPr>
        <w:t xml:space="preserve"> differentiate </w:t>
      </w:r>
      <w:r w:rsidR="008763CA" w:rsidRPr="008763CA">
        <w:rPr>
          <w:lang w:val="en-GB"/>
        </w:rPr>
        <w:t xml:space="preserve">between, on the one hand, </w:t>
      </w:r>
      <w:r w:rsidRPr="008763CA">
        <w:rPr>
          <w:lang w:val="en-GB"/>
        </w:rPr>
        <w:t>the works of the Sophists, which consisted essentially of model speeches or even of parts of speeches, and, on the other hand, the theory of rhetoric gradually developed by Tisias, Thrasymachus, Theodorus and others.</w:t>
      </w:r>
      <w:r w:rsidRPr="008763CA">
        <w:rPr>
          <w:rStyle w:val="FootnoteCharacters"/>
        </w:rPr>
        <w:footnoteReference w:id="7"/>
      </w:r>
    </w:p>
    <w:p w:rsidR="00AB475E" w:rsidRPr="00557F95" w:rsidRDefault="00FF24FA" w:rsidP="00AB475E">
      <w:pPr>
        <w:spacing w:line="360" w:lineRule="auto"/>
        <w:ind w:firstLine="708"/>
        <w:jc w:val="both"/>
        <w:rPr>
          <w:highlight w:val="yellow"/>
          <w:lang w:val="en-GB"/>
        </w:rPr>
      </w:pPr>
      <w:r w:rsidRPr="00FF24FA">
        <w:rPr>
          <w:lang w:val="en-GB"/>
        </w:rPr>
        <w:t>In any case</w:t>
      </w:r>
      <w:r w:rsidR="00AB475E" w:rsidRPr="00FF24FA">
        <w:rPr>
          <w:lang w:val="en-GB"/>
        </w:rPr>
        <w:t xml:space="preserve">, the first preserved handbooks of rhetorical theory are the </w:t>
      </w:r>
      <w:r w:rsidR="00AB475E" w:rsidRPr="00FF24FA">
        <w:rPr>
          <w:i/>
          <w:lang w:val="en-GB"/>
        </w:rPr>
        <w:t>Rhetoric to Alexander</w:t>
      </w:r>
      <w:r w:rsidR="00AB475E" w:rsidRPr="00FF24FA">
        <w:rPr>
          <w:lang w:val="en-GB"/>
        </w:rPr>
        <w:t>, attributed to Anaximenes of Lampsacus,</w:t>
      </w:r>
      <w:r w:rsidR="00AB475E" w:rsidRPr="00FF24FA">
        <w:rPr>
          <w:rStyle w:val="FootnoteCharacters"/>
        </w:rPr>
        <w:footnoteReference w:id="8"/>
      </w:r>
      <w:r w:rsidR="00AB475E" w:rsidRPr="00FF24FA">
        <w:rPr>
          <w:lang w:val="en-GB"/>
        </w:rPr>
        <w:t xml:space="preserve"> and Aristotle’s </w:t>
      </w:r>
      <w:r w:rsidR="00AB475E" w:rsidRPr="00FF24FA">
        <w:rPr>
          <w:i/>
          <w:lang w:val="en-GB"/>
        </w:rPr>
        <w:t>Rhetoric</w:t>
      </w:r>
      <w:r w:rsidR="00AB475E" w:rsidRPr="00FF24FA">
        <w:rPr>
          <w:lang w:val="en-GB"/>
        </w:rPr>
        <w:t>, both works from the 4</w:t>
      </w:r>
      <w:r w:rsidR="00AB475E" w:rsidRPr="00FF24FA">
        <w:rPr>
          <w:vertAlign w:val="superscript"/>
          <w:lang w:val="en-GB"/>
        </w:rPr>
        <w:t>th</w:t>
      </w:r>
      <w:r w:rsidR="00AB475E" w:rsidRPr="00FF24FA">
        <w:rPr>
          <w:lang w:val="en-GB"/>
        </w:rPr>
        <w:t xml:space="preserve"> century BC.</w:t>
      </w:r>
      <w:r w:rsidR="00AB475E" w:rsidRPr="00FF24FA">
        <w:rPr>
          <w:rStyle w:val="FootnoteCharacters"/>
        </w:rPr>
        <w:footnoteReference w:id="9"/>
      </w:r>
      <w:r w:rsidR="00AB475E" w:rsidRPr="00FF24FA">
        <w:rPr>
          <w:lang w:val="en-GB"/>
        </w:rPr>
        <w:t xml:space="preserve"> </w:t>
      </w:r>
      <w:r w:rsidR="00AB475E" w:rsidRPr="00F81824">
        <w:rPr>
          <w:lang w:val="en-GB"/>
        </w:rPr>
        <w:t xml:space="preserve">In both handbooks the example or </w:t>
      </w:r>
      <w:r w:rsidR="00AB475E" w:rsidRPr="00F81824">
        <w:rPr>
          <w:i/>
          <w:lang w:val="en-GB"/>
        </w:rPr>
        <w:t>paradeigma</w:t>
      </w:r>
      <w:r w:rsidR="00AB475E" w:rsidRPr="00F81824">
        <w:rPr>
          <w:lang w:val="en-GB"/>
        </w:rPr>
        <w:t xml:space="preserve"> is one of the most important </w:t>
      </w:r>
      <w:r w:rsidR="00AB475E" w:rsidRPr="00F81824">
        <w:rPr>
          <w:i/>
          <w:lang w:val="en-GB"/>
        </w:rPr>
        <w:t>pisteis</w:t>
      </w:r>
      <w:r w:rsidR="00AB475E" w:rsidRPr="00F81824">
        <w:rPr>
          <w:lang w:val="en-GB"/>
        </w:rPr>
        <w:t xml:space="preserve"> or proofs.</w:t>
      </w:r>
      <w:r w:rsidR="00AB475E" w:rsidRPr="00F81824">
        <w:rPr>
          <w:rStyle w:val="FootnoteCharacters"/>
        </w:rPr>
        <w:footnoteReference w:id="10"/>
      </w:r>
      <w:r w:rsidR="00AB475E" w:rsidRPr="00F81824">
        <w:rPr>
          <w:lang w:val="en-GB"/>
        </w:rPr>
        <w:t xml:space="preserve"> </w:t>
      </w:r>
      <w:r w:rsidR="00F81824" w:rsidRPr="00195C6A">
        <w:rPr>
          <w:lang w:val="en-GB"/>
        </w:rPr>
        <w:t>In concrete terms</w:t>
      </w:r>
      <w:r w:rsidR="00AB475E" w:rsidRPr="00195C6A">
        <w:rPr>
          <w:lang w:val="en-GB"/>
        </w:rPr>
        <w:t>, example is in those works the most relevant argumentat</w:t>
      </w:r>
      <w:r w:rsidR="00A54D47" w:rsidRPr="00195C6A">
        <w:rPr>
          <w:lang w:val="en-GB"/>
        </w:rPr>
        <w:t>ive resourc</w:t>
      </w:r>
      <w:r w:rsidR="00AB475E" w:rsidRPr="00195C6A">
        <w:rPr>
          <w:lang w:val="en-GB"/>
        </w:rPr>
        <w:t xml:space="preserve">e together with </w:t>
      </w:r>
      <w:r w:rsidR="00AB475E" w:rsidRPr="00195C6A">
        <w:rPr>
          <w:i/>
          <w:lang w:val="en-GB"/>
        </w:rPr>
        <w:t>eikos</w:t>
      </w:r>
      <w:r w:rsidR="00AB475E" w:rsidRPr="00195C6A">
        <w:rPr>
          <w:lang w:val="en-GB"/>
        </w:rPr>
        <w:t xml:space="preserve"> or probability (in the </w:t>
      </w:r>
      <w:r w:rsidR="00AB475E" w:rsidRPr="00195C6A">
        <w:rPr>
          <w:i/>
          <w:lang w:val="en-GB"/>
        </w:rPr>
        <w:t>Rhetoric to Alexander</w:t>
      </w:r>
      <w:r w:rsidR="00AB475E" w:rsidRPr="00195C6A">
        <w:rPr>
          <w:lang w:val="en-GB"/>
        </w:rPr>
        <w:t xml:space="preserve">) or the enthymeme (in Aristotle’s </w:t>
      </w:r>
      <w:r w:rsidR="00AB475E" w:rsidRPr="00195C6A">
        <w:rPr>
          <w:i/>
          <w:lang w:val="en-GB"/>
        </w:rPr>
        <w:t>Rhetoric</w:t>
      </w:r>
      <w:r w:rsidR="00AB475E" w:rsidRPr="00195C6A">
        <w:rPr>
          <w:lang w:val="en-GB"/>
        </w:rPr>
        <w:t xml:space="preserve">). However, in the stagirite’s work, which creates a correlation between the </w:t>
      </w:r>
      <w:r w:rsidR="00AB475E" w:rsidRPr="00195C6A">
        <w:rPr>
          <w:i/>
          <w:lang w:val="en-GB"/>
        </w:rPr>
        <w:t>techne rhetorike</w:t>
      </w:r>
      <w:r w:rsidR="00AB475E" w:rsidRPr="00195C6A">
        <w:rPr>
          <w:lang w:val="en-GB"/>
        </w:rPr>
        <w:t xml:space="preserve"> and dialectic (</w:t>
      </w:r>
      <w:r w:rsidR="00AB475E" w:rsidRPr="00195C6A">
        <w:rPr>
          <w:i/>
          <w:lang w:val="en-GB"/>
        </w:rPr>
        <w:t>Rh</w:t>
      </w:r>
      <w:r w:rsidR="00AB475E" w:rsidRPr="00195C6A">
        <w:rPr>
          <w:lang w:val="en-GB"/>
        </w:rPr>
        <w:t xml:space="preserve">. 1354a1), the example or </w:t>
      </w:r>
      <w:r w:rsidR="00AB475E" w:rsidRPr="00195C6A">
        <w:rPr>
          <w:i/>
          <w:lang w:val="en-GB"/>
        </w:rPr>
        <w:t>paradeigma</w:t>
      </w:r>
      <w:r w:rsidR="00A54D47" w:rsidRPr="00195C6A">
        <w:rPr>
          <w:lang w:val="en-GB"/>
        </w:rPr>
        <w:t xml:space="preserve"> can be a resourc</w:t>
      </w:r>
      <w:r w:rsidR="00AB475E" w:rsidRPr="00195C6A">
        <w:rPr>
          <w:lang w:val="en-GB"/>
        </w:rPr>
        <w:t xml:space="preserve">e comparable to induction (and, as such, </w:t>
      </w:r>
      <w:r w:rsidR="00195C6A" w:rsidRPr="00195C6A">
        <w:rPr>
          <w:lang w:val="en-GB"/>
        </w:rPr>
        <w:t>with</w:t>
      </w:r>
      <w:r w:rsidR="00AB475E" w:rsidRPr="00195C6A">
        <w:rPr>
          <w:lang w:val="en-GB"/>
        </w:rPr>
        <w:t xml:space="preserve"> the same level of relevance as the enthymeme), as well as </w:t>
      </w:r>
      <w:r w:rsidR="00A54D47" w:rsidRPr="00195C6A">
        <w:rPr>
          <w:lang w:val="en-GB"/>
        </w:rPr>
        <w:t>a source of the</w:t>
      </w:r>
      <w:r w:rsidR="00AB475E" w:rsidRPr="00195C6A">
        <w:rPr>
          <w:lang w:val="en-GB"/>
        </w:rPr>
        <w:t xml:space="preserve"> enthymeme (and, as such, subordinated to it). This fact </w:t>
      </w:r>
      <w:r w:rsidR="00195C6A" w:rsidRPr="00195C6A">
        <w:rPr>
          <w:lang w:val="en-GB"/>
        </w:rPr>
        <w:t xml:space="preserve">results in that work offering </w:t>
      </w:r>
      <w:r w:rsidR="00AB475E" w:rsidRPr="00195C6A">
        <w:rPr>
          <w:lang w:val="en-GB"/>
        </w:rPr>
        <w:t xml:space="preserve">a broader view of the functions of example or </w:t>
      </w:r>
      <w:r w:rsidR="00AB475E" w:rsidRPr="00195C6A">
        <w:rPr>
          <w:i/>
          <w:lang w:val="en-GB"/>
        </w:rPr>
        <w:t>paradeigma</w:t>
      </w:r>
      <w:r w:rsidR="00AB475E" w:rsidRPr="00195C6A">
        <w:rPr>
          <w:lang w:val="en-GB"/>
        </w:rPr>
        <w:t>.</w:t>
      </w:r>
    </w:p>
    <w:p w:rsidR="00AB475E" w:rsidRPr="00557F95" w:rsidRDefault="00D75AE4" w:rsidP="00AB475E">
      <w:pPr>
        <w:spacing w:line="360" w:lineRule="auto"/>
        <w:ind w:firstLine="708"/>
        <w:jc w:val="both"/>
        <w:rPr>
          <w:highlight w:val="yellow"/>
          <w:lang w:val="en-GB"/>
        </w:rPr>
      </w:pPr>
      <w:r w:rsidRPr="00756B10">
        <w:rPr>
          <w:lang w:val="en-GB"/>
        </w:rPr>
        <w:t>This paper analyses</w:t>
      </w:r>
      <w:r w:rsidR="00AB475E" w:rsidRPr="00756B10">
        <w:rPr>
          <w:lang w:val="en-GB"/>
        </w:rPr>
        <w:t xml:space="preserve"> the way </w:t>
      </w:r>
      <w:r w:rsidRPr="00756B10">
        <w:rPr>
          <w:lang w:val="en-GB"/>
        </w:rPr>
        <w:t>in which the c</w:t>
      </w:r>
      <w:r w:rsidR="00AB475E" w:rsidRPr="00756B10">
        <w:rPr>
          <w:lang w:val="en-GB"/>
        </w:rPr>
        <w:t>lassic</w:t>
      </w:r>
      <w:r w:rsidRPr="00756B10">
        <w:rPr>
          <w:lang w:val="en-GB"/>
        </w:rPr>
        <w:t>al</w:t>
      </w:r>
      <w:r w:rsidR="00AB475E" w:rsidRPr="00756B10">
        <w:rPr>
          <w:lang w:val="en-GB"/>
        </w:rPr>
        <w:t xml:space="preserve">, and mainly </w:t>
      </w:r>
      <w:r w:rsidRPr="00756B10">
        <w:rPr>
          <w:lang w:val="en-GB"/>
        </w:rPr>
        <w:t>Aristotelian</w:t>
      </w:r>
      <w:r w:rsidR="00AB475E" w:rsidRPr="00756B10">
        <w:rPr>
          <w:lang w:val="en-GB"/>
        </w:rPr>
        <w:t xml:space="preserve">, view of example is received in Late Antiquity, </w:t>
      </w:r>
      <w:r w:rsidR="00756B10" w:rsidRPr="00756B10">
        <w:rPr>
          <w:lang w:val="en-GB"/>
        </w:rPr>
        <w:t>specifically</w:t>
      </w:r>
      <w:r w:rsidR="00AB475E" w:rsidRPr="00756B10">
        <w:rPr>
          <w:lang w:val="en-GB"/>
        </w:rPr>
        <w:t xml:space="preserve"> in the Imperial period</w:t>
      </w:r>
      <w:r w:rsidR="00756B10" w:rsidRPr="00756B10">
        <w:rPr>
          <w:lang w:val="en-GB"/>
        </w:rPr>
        <w:t>.</w:t>
      </w:r>
      <w:r w:rsidR="00863D36" w:rsidRPr="00756B10">
        <w:rPr>
          <w:rStyle w:val="FootnoteCharacters"/>
        </w:rPr>
        <w:footnoteReference w:id="11"/>
      </w:r>
      <w:r w:rsidR="00AB475E" w:rsidRPr="00756B10">
        <w:rPr>
          <w:lang w:val="en-GB"/>
        </w:rPr>
        <w:t xml:space="preserve"> </w:t>
      </w:r>
      <w:r w:rsidR="00AB475E" w:rsidRPr="00B10458">
        <w:rPr>
          <w:lang w:val="en-GB"/>
        </w:rPr>
        <w:t xml:space="preserve">In that </w:t>
      </w:r>
      <w:r w:rsidR="00B10458" w:rsidRPr="00B10458">
        <w:rPr>
          <w:lang w:val="en-GB"/>
        </w:rPr>
        <w:t>period</w:t>
      </w:r>
      <w:r w:rsidR="00AB475E" w:rsidRPr="00B10458">
        <w:rPr>
          <w:lang w:val="en-GB"/>
        </w:rPr>
        <w:t xml:space="preserve"> rhetoric experiences an era of splendour and becomes the basis of education in all of the Greco-Roman world.</w:t>
      </w:r>
      <w:r w:rsidR="00AB475E" w:rsidRPr="00B10458">
        <w:rPr>
          <w:rStyle w:val="FootnoteCharacters"/>
        </w:rPr>
        <w:footnoteReference w:id="12"/>
      </w:r>
      <w:r w:rsidR="00AB475E" w:rsidRPr="00B10458">
        <w:rPr>
          <w:lang w:val="en-GB"/>
        </w:rPr>
        <w:t xml:space="preserve"> Generalist treatises</w:t>
      </w:r>
      <w:r w:rsidR="00AB475E" w:rsidRPr="00B10458">
        <w:rPr>
          <w:rStyle w:val="FootnoteCharacters"/>
        </w:rPr>
        <w:footnoteReference w:id="13"/>
      </w:r>
      <w:r w:rsidR="00AB475E" w:rsidRPr="00B10458">
        <w:rPr>
          <w:lang w:val="en-GB"/>
        </w:rPr>
        <w:t xml:space="preserve"> were still written, such as the </w:t>
      </w:r>
      <w:r w:rsidR="00AB475E" w:rsidRPr="00B10458">
        <w:rPr>
          <w:i/>
          <w:lang w:val="en-GB"/>
        </w:rPr>
        <w:t>Anonymous Seguerianus</w:t>
      </w:r>
      <w:r w:rsidR="00AB475E" w:rsidRPr="00B10458">
        <w:rPr>
          <w:lang w:val="en-GB"/>
        </w:rPr>
        <w:t xml:space="preserve"> (2</w:t>
      </w:r>
      <w:r w:rsidR="00AB475E" w:rsidRPr="00B10458">
        <w:rPr>
          <w:vertAlign w:val="superscript"/>
          <w:lang w:val="en-GB"/>
        </w:rPr>
        <w:t>nd</w:t>
      </w:r>
      <w:r w:rsidR="00AB475E" w:rsidRPr="00B10458">
        <w:rPr>
          <w:lang w:val="en-GB"/>
        </w:rPr>
        <w:t xml:space="preserve"> century AD), Rufus’ </w:t>
      </w:r>
      <w:r w:rsidR="00AB475E" w:rsidRPr="00B10458">
        <w:rPr>
          <w:i/>
          <w:lang w:val="en-GB"/>
        </w:rPr>
        <w:t>Rhetoric</w:t>
      </w:r>
      <w:r w:rsidR="00AB475E" w:rsidRPr="00B10458">
        <w:rPr>
          <w:lang w:val="en-GB"/>
        </w:rPr>
        <w:t xml:space="preserve"> (2</w:t>
      </w:r>
      <w:r w:rsidR="00AB475E" w:rsidRPr="00B10458">
        <w:rPr>
          <w:vertAlign w:val="superscript"/>
          <w:lang w:val="en-GB"/>
        </w:rPr>
        <w:t>nd</w:t>
      </w:r>
      <w:r w:rsidR="00AB475E" w:rsidRPr="00B10458">
        <w:rPr>
          <w:lang w:val="en-GB"/>
        </w:rPr>
        <w:t xml:space="preserve"> century AD) or Apsines of Gadara’s </w:t>
      </w:r>
      <w:r w:rsidR="00AB475E" w:rsidRPr="00B10458">
        <w:rPr>
          <w:i/>
          <w:lang w:val="en-GB"/>
        </w:rPr>
        <w:t>Rhetoric</w:t>
      </w:r>
      <w:r w:rsidR="00AB475E" w:rsidRPr="00B10458">
        <w:rPr>
          <w:lang w:val="en-GB"/>
        </w:rPr>
        <w:t xml:space="preserve"> (3</w:t>
      </w:r>
      <w:r w:rsidR="00AB475E" w:rsidRPr="00B10458">
        <w:rPr>
          <w:vertAlign w:val="superscript"/>
          <w:lang w:val="en-GB"/>
        </w:rPr>
        <w:t>rd</w:t>
      </w:r>
      <w:r w:rsidR="00AB475E" w:rsidRPr="00B10458">
        <w:rPr>
          <w:lang w:val="en-GB"/>
        </w:rPr>
        <w:t xml:space="preserve"> century AD), all of them organised around the parts of speech (prooimion, narration, argument and epilogue). These generalist treatises follow to a large extent the </w:t>
      </w:r>
      <w:r w:rsidR="00B10458" w:rsidRPr="00B10458">
        <w:rPr>
          <w:lang w:val="en-GB"/>
        </w:rPr>
        <w:t>Aristotelian</w:t>
      </w:r>
      <w:r w:rsidR="00AB475E" w:rsidRPr="00B10458">
        <w:rPr>
          <w:lang w:val="en-GB"/>
        </w:rPr>
        <w:t xml:space="preserve"> work, </w:t>
      </w:r>
      <w:r w:rsidR="00AB475E" w:rsidRPr="003437C1">
        <w:rPr>
          <w:lang w:val="en-GB"/>
        </w:rPr>
        <w:t>since they differen</w:t>
      </w:r>
      <w:r w:rsidR="003437C1" w:rsidRPr="003437C1">
        <w:rPr>
          <w:lang w:val="en-GB"/>
        </w:rPr>
        <w:t>t</w:t>
      </w:r>
      <w:r w:rsidR="00AB475E" w:rsidRPr="003437C1">
        <w:rPr>
          <w:lang w:val="en-GB"/>
        </w:rPr>
        <w:t>iate between artistic and non-artistic proofs and</w:t>
      </w:r>
      <w:r w:rsidR="009E087C">
        <w:rPr>
          <w:lang w:val="en-GB"/>
        </w:rPr>
        <w:t xml:space="preserve"> in the former category </w:t>
      </w:r>
      <w:r w:rsidR="00AB475E" w:rsidRPr="003437C1">
        <w:rPr>
          <w:lang w:val="en-GB"/>
        </w:rPr>
        <w:t xml:space="preserve">they include the example or </w:t>
      </w:r>
      <w:r w:rsidR="00AB475E" w:rsidRPr="003437C1">
        <w:rPr>
          <w:i/>
          <w:lang w:val="en-GB"/>
        </w:rPr>
        <w:t>paradeigma</w:t>
      </w:r>
      <w:r w:rsidR="00AB475E" w:rsidRPr="003437C1">
        <w:rPr>
          <w:lang w:val="en-GB"/>
        </w:rPr>
        <w:t xml:space="preserve"> and the enthymeme. But the way these treatises present the example leads </w:t>
      </w:r>
      <w:r w:rsidR="003437C1" w:rsidRPr="003437C1">
        <w:rPr>
          <w:lang w:val="en-GB"/>
        </w:rPr>
        <w:t xml:space="preserve">one </w:t>
      </w:r>
      <w:r w:rsidR="00AB475E" w:rsidRPr="003437C1">
        <w:rPr>
          <w:lang w:val="en-GB"/>
        </w:rPr>
        <w:t>to think about certain questions, such as the relation between example and induction, the different ways to refute an example or the delimitation of its contents.</w:t>
      </w:r>
    </w:p>
    <w:p w:rsidR="00AB475E" w:rsidRPr="00557F95" w:rsidRDefault="00AB475E" w:rsidP="00AB475E">
      <w:pPr>
        <w:spacing w:line="360" w:lineRule="auto"/>
        <w:ind w:firstLine="708"/>
        <w:jc w:val="both"/>
        <w:rPr>
          <w:highlight w:val="yellow"/>
          <w:lang w:val="en-GB"/>
        </w:rPr>
      </w:pPr>
      <w:r w:rsidRPr="008F58A2">
        <w:rPr>
          <w:lang w:val="en-GB"/>
        </w:rPr>
        <w:t xml:space="preserve">This last question is </w:t>
      </w:r>
      <w:r w:rsidR="008F58A2" w:rsidRPr="008F58A2">
        <w:rPr>
          <w:lang w:val="en-GB"/>
        </w:rPr>
        <w:t>e</w:t>
      </w:r>
      <w:r w:rsidRPr="008F58A2">
        <w:rPr>
          <w:lang w:val="en-GB"/>
        </w:rPr>
        <w:t xml:space="preserve">specially interesting, because the </w:t>
      </w:r>
      <w:r w:rsidR="008F58A2" w:rsidRPr="008F58A2">
        <w:rPr>
          <w:lang w:val="en-GB"/>
        </w:rPr>
        <w:t>Aristotelian view thereof</w:t>
      </w:r>
      <w:r w:rsidRPr="008F58A2">
        <w:rPr>
          <w:lang w:val="en-GB"/>
        </w:rPr>
        <w:t xml:space="preserve"> is innovative and opposes that of the </w:t>
      </w:r>
      <w:r w:rsidRPr="008F58A2">
        <w:rPr>
          <w:i/>
          <w:lang w:val="en-GB"/>
        </w:rPr>
        <w:t>Rhetoric of Alexander</w:t>
      </w:r>
      <w:r w:rsidRPr="008F58A2">
        <w:rPr>
          <w:lang w:val="en-GB"/>
        </w:rPr>
        <w:t xml:space="preserve">. </w:t>
      </w:r>
      <w:r w:rsidRPr="002060F5">
        <w:rPr>
          <w:lang w:val="en-GB"/>
        </w:rPr>
        <w:t xml:space="preserve">This work considers that example or </w:t>
      </w:r>
      <w:r w:rsidRPr="002060F5">
        <w:rPr>
          <w:i/>
          <w:lang w:val="en-GB"/>
        </w:rPr>
        <w:t>paradeigma</w:t>
      </w:r>
      <w:r w:rsidRPr="002060F5">
        <w:rPr>
          <w:lang w:val="en-GB"/>
        </w:rPr>
        <w:t xml:space="preserve"> has to be historical, while the stagirite </w:t>
      </w:r>
      <w:r w:rsidR="002060F5" w:rsidRPr="002060F5">
        <w:rPr>
          <w:lang w:val="en-GB"/>
        </w:rPr>
        <w:t>upholds</w:t>
      </w:r>
      <w:r w:rsidRPr="002060F5">
        <w:rPr>
          <w:lang w:val="en-GB"/>
        </w:rPr>
        <w:t xml:space="preserve"> that example can be historical as well as fictional, and </w:t>
      </w:r>
      <w:r w:rsidR="002060F5" w:rsidRPr="002060F5">
        <w:rPr>
          <w:lang w:val="en-GB"/>
        </w:rPr>
        <w:t>under</w:t>
      </w:r>
      <w:r w:rsidRPr="002060F5">
        <w:rPr>
          <w:lang w:val="en-GB"/>
        </w:rPr>
        <w:t xml:space="preserve"> the fictional example he includes the parable (</w:t>
      </w:r>
      <w:r w:rsidRPr="002060F5">
        <w:rPr>
          <w:rFonts w:ascii="GR Times New Roman" w:hAnsi="GR Times New Roman" w:cs="GR Times New Roman"/>
        </w:rPr>
        <w:t>παραβολ</w:t>
      </w:r>
      <w:r w:rsidRPr="002060F5">
        <w:rPr>
          <w:rFonts w:ascii="GR Times New Roman" w:hAnsi="GR Times New Roman" w:cs="GR Times New Roman"/>
          <w:lang w:val="el-GR"/>
        </w:rPr>
        <w:t>ή</w:t>
      </w:r>
      <w:r w:rsidRPr="002060F5">
        <w:rPr>
          <w:lang w:val="en-GB"/>
        </w:rPr>
        <w:t>) and the fable (</w:t>
      </w:r>
      <w:r w:rsidRPr="002060F5">
        <w:rPr>
          <w:rFonts w:ascii="GR Times New Roman" w:hAnsi="GR Times New Roman" w:cs="GR Times New Roman"/>
        </w:rPr>
        <w:t>λόγ</w:t>
      </w:r>
      <w:r w:rsidRPr="002060F5">
        <w:rPr>
          <w:rFonts w:ascii="GR Times New Roman" w:hAnsi="GR Times New Roman" w:cs="GR Times New Roman"/>
          <w:lang w:val="el-GR"/>
        </w:rPr>
        <w:t>ος</w:t>
      </w:r>
      <w:r w:rsidRPr="002060F5">
        <w:rPr>
          <w:lang w:val="en-GB"/>
        </w:rPr>
        <w:t>) (</w:t>
      </w:r>
      <w:r w:rsidRPr="002060F5">
        <w:rPr>
          <w:i/>
          <w:lang w:val="en-GB"/>
        </w:rPr>
        <w:t>Rh</w:t>
      </w:r>
      <w:r w:rsidRPr="002060F5">
        <w:rPr>
          <w:lang w:val="en-GB"/>
        </w:rPr>
        <w:t>. 2.20, 1393a28-31).</w:t>
      </w:r>
    </w:p>
    <w:p w:rsidR="00AB475E" w:rsidRPr="0041749C" w:rsidRDefault="00AB475E" w:rsidP="00AB475E">
      <w:pPr>
        <w:spacing w:line="360" w:lineRule="auto"/>
        <w:ind w:firstLine="708"/>
        <w:jc w:val="both"/>
        <w:rPr>
          <w:lang w:val="en-GB"/>
        </w:rPr>
      </w:pPr>
      <w:r w:rsidRPr="0041749C">
        <w:rPr>
          <w:lang w:val="en-GB"/>
        </w:rPr>
        <w:t xml:space="preserve">From </w:t>
      </w:r>
      <w:r w:rsidR="0041749C" w:rsidRPr="0041749C">
        <w:rPr>
          <w:lang w:val="en-GB"/>
        </w:rPr>
        <w:t>then onwards</w:t>
      </w:r>
      <w:r w:rsidRPr="0041749C">
        <w:rPr>
          <w:lang w:val="en-GB"/>
        </w:rPr>
        <w:t xml:space="preserve"> the rhetorical handbooks of the Imperial period make an effort to delimit the contents of </w:t>
      </w:r>
      <w:r w:rsidR="0041749C" w:rsidRPr="0041749C">
        <w:rPr>
          <w:lang w:val="en-GB"/>
        </w:rPr>
        <w:t xml:space="preserve">the </w:t>
      </w:r>
      <w:r w:rsidRPr="0041749C">
        <w:rPr>
          <w:lang w:val="en-GB"/>
        </w:rPr>
        <w:t xml:space="preserve">example, and most of them establish a distinction beween the example or </w:t>
      </w:r>
      <w:r w:rsidRPr="0041749C">
        <w:rPr>
          <w:i/>
          <w:lang w:val="en-GB"/>
        </w:rPr>
        <w:t>paradeigma</w:t>
      </w:r>
      <w:r w:rsidRPr="0041749C">
        <w:rPr>
          <w:lang w:val="en-GB"/>
        </w:rPr>
        <w:t xml:space="preserve"> and the comparison or </w:t>
      </w:r>
      <w:r w:rsidRPr="0041749C">
        <w:rPr>
          <w:i/>
          <w:lang w:val="en-GB"/>
        </w:rPr>
        <w:t>parabole</w:t>
      </w:r>
      <w:r w:rsidRPr="0041749C">
        <w:rPr>
          <w:lang w:val="en-GB"/>
        </w:rPr>
        <w:t>, moving away significantly from Aristotle.</w:t>
      </w:r>
    </w:p>
    <w:p w:rsidR="00AB475E" w:rsidRPr="00557F95" w:rsidRDefault="00AB475E" w:rsidP="00AB475E">
      <w:pPr>
        <w:spacing w:line="360" w:lineRule="auto"/>
        <w:ind w:firstLine="708"/>
        <w:jc w:val="both"/>
        <w:rPr>
          <w:highlight w:val="yellow"/>
          <w:lang w:val="en-GB"/>
        </w:rPr>
      </w:pPr>
      <w:r w:rsidRPr="0041749C">
        <w:rPr>
          <w:lang w:val="en-GB"/>
        </w:rPr>
        <w:t xml:space="preserve">But, in addition to the rhetorical generalist treatises, in the Imperial period the exercises of rhetoric or </w:t>
      </w:r>
      <w:r w:rsidRPr="0041749C">
        <w:rPr>
          <w:i/>
          <w:lang w:val="en-GB"/>
        </w:rPr>
        <w:t>progymnasmata</w:t>
      </w:r>
      <w:r w:rsidRPr="0041749C">
        <w:rPr>
          <w:rStyle w:val="FootnoteCharacters"/>
        </w:rPr>
        <w:footnoteReference w:id="14"/>
      </w:r>
      <w:r w:rsidRPr="0041749C">
        <w:rPr>
          <w:lang w:val="en-GB"/>
        </w:rPr>
        <w:t xml:space="preserve"> (Theon called them </w:t>
      </w:r>
      <w:r w:rsidRPr="0041749C">
        <w:rPr>
          <w:i/>
          <w:lang w:val="en-GB"/>
        </w:rPr>
        <w:t>gymnasmata</w:t>
      </w:r>
      <w:r w:rsidRPr="0041749C">
        <w:rPr>
          <w:lang w:val="en-GB"/>
        </w:rPr>
        <w:t xml:space="preserve">) </w:t>
      </w:r>
      <w:r w:rsidR="0041749C" w:rsidRPr="0041749C">
        <w:rPr>
          <w:lang w:val="en-GB"/>
        </w:rPr>
        <w:t>were</w:t>
      </w:r>
      <w:r w:rsidRPr="0041749C">
        <w:rPr>
          <w:lang w:val="en-GB"/>
        </w:rPr>
        <w:t xml:space="preserve"> set. </w:t>
      </w:r>
      <w:r w:rsidRPr="00D94E59">
        <w:rPr>
          <w:lang w:val="en-GB"/>
        </w:rPr>
        <w:t xml:space="preserve">These exercises were understood as a series of preliminary exercises which prepared the student for the last phase of education, the elaboration of </w:t>
      </w:r>
      <w:r w:rsidRPr="00D94E59">
        <w:rPr>
          <w:rFonts w:ascii="GR Times New Roman" w:hAnsi="GR Times New Roman" w:cs="GR Times New Roman"/>
          <w:lang w:val="el-GR"/>
        </w:rPr>
        <w:t>μελέται</w:t>
      </w:r>
      <w:r w:rsidRPr="00D94E59">
        <w:rPr>
          <w:rFonts w:ascii="GR Times New Roman" w:hAnsi="GR Times New Roman" w:cs="GR Times New Roman"/>
          <w:lang w:val="en-GB"/>
        </w:rPr>
        <w:t xml:space="preserve"> </w:t>
      </w:r>
      <w:r w:rsidRPr="00D94E59">
        <w:rPr>
          <w:lang w:val="en-GB"/>
        </w:rPr>
        <w:t>o</w:t>
      </w:r>
      <w:r w:rsidR="003C4EFD" w:rsidRPr="00D94E59">
        <w:rPr>
          <w:lang w:val="en-GB"/>
        </w:rPr>
        <w:t>r</w:t>
      </w:r>
      <w:r w:rsidRPr="00D94E59">
        <w:rPr>
          <w:lang w:val="en-GB"/>
        </w:rPr>
        <w:t xml:space="preserve"> </w:t>
      </w:r>
      <w:r w:rsidRPr="00D94E59">
        <w:rPr>
          <w:i/>
          <w:lang w:val="en-GB"/>
        </w:rPr>
        <w:t>declamationes</w:t>
      </w:r>
      <w:r w:rsidRPr="00D94E59">
        <w:rPr>
          <w:lang w:val="en-GB"/>
        </w:rPr>
        <w:t xml:space="preserve">, which included the </w:t>
      </w:r>
      <w:r w:rsidRPr="00D94E59">
        <w:rPr>
          <w:rFonts w:ascii="GR Times New Roman" w:hAnsi="GR Times New Roman" w:cs="GR Times New Roman"/>
        </w:rPr>
        <w:t>ὑποθέσεις</w:t>
      </w:r>
      <w:r w:rsidRPr="00D94E59">
        <w:rPr>
          <w:rFonts w:ascii="GR Times New Roman" w:hAnsi="GR Times New Roman" w:cs="GR Times New Roman"/>
          <w:lang w:val="en-GB"/>
        </w:rPr>
        <w:t xml:space="preserve"> </w:t>
      </w:r>
      <w:r w:rsidRPr="00D94E59">
        <w:rPr>
          <w:rFonts w:ascii="GR Times New Roman" w:hAnsi="GR Times New Roman" w:cs="GR Times New Roman"/>
        </w:rPr>
        <w:t>δικανικαί</w:t>
      </w:r>
      <w:r w:rsidR="003C4EFD" w:rsidRPr="00D94E59">
        <w:rPr>
          <w:lang w:val="en-GB"/>
        </w:rPr>
        <w:t xml:space="preserve"> or</w:t>
      </w:r>
      <w:r w:rsidRPr="00D94E59">
        <w:rPr>
          <w:lang w:val="en-GB"/>
        </w:rPr>
        <w:t xml:space="preserve"> </w:t>
      </w:r>
      <w:r w:rsidRPr="00D94E59">
        <w:rPr>
          <w:i/>
          <w:lang w:val="en-GB"/>
        </w:rPr>
        <w:t>controversiae</w:t>
      </w:r>
      <w:r w:rsidRPr="00D94E59">
        <w:rPr>
          <w:lang w:val="en-GB"/>
        </w:rPr>
        <w:t xml:space="preserve"> and the </w:t>
      </w:r>
      <w:r w:rsidRPr="00D94E59">
        <w:rPr>
          <w:rFonts w:ascii="GR Times New Roman" w:hAnsi="GR Times New Roman" w:cs="GR Times New Roman"/>
        </w:rPr>
        <w:t>ὑποθέσεις</w:t>
      </w:r>
      <w:r w:rsidRPr="00D94E59">
        <w:rPr>
          <w:rFonts w:ascii="GR Times New Roman" w:hAnsi="GR Times New Roman" w:cs="GR Times New Roman"/>
          <w:lang w:val="en-GB"/>
        </w:rPr>
        <w:t xml:space="preserve"> </w:t>
      </w:r>
      <w:r w:rsidRPr="00D94E59">
        <w:rPr>
          <w:rFonts w:ascii="GR Times New Roman" w:hAnsi="GR Times New Roman" w:cs="GR Times New Roman"/>
        </w:rPr>
        <w:t>συμβουλευτικαί</w:t>
      </w:r>
      <w:r w:rsidRPr="00D94E59">
        <w:rPr>
          <w:lang w:val="en-GB"/>
        </w:rPr>
        <w:t xml:space="preserve"> or </w:t>
      </w:r>
      <w:r w:rsidRPr="00D94E59">
        <w:rPr>
          <w:i/>
          <w:lang w:val="en-GB"/>
        </w:rPr>
        <w:t>suasoriae</w:t>
      </w:r>
      <w:r w:rsidRPr="00D94E59">
        <w:rPr>
          <w:lang w:val="en-GB"/>
        </w:rPr>
        <w:t>.</w:t>
      </w:r>
      <w:r w:rsidRPr="00D94E59">
        <w:rPr>
          <w:rStyle w:val="FootnoteCharacters"/>
        </w:rPr>
        <w:footnoteReference w:id="15"/>
      </w:r>
      <w:r w:rsidRPr="00D94E59">
        <w:rPr>
          <w:lang w:val="en-GB"/>
        </w:rPr>
        <w:t xml:space="preserve"> Although many </w:t>
      </w:r>
      <w:r w:rsidRPr="00D94E59">
        <w:rPr>
          <w:i/>
          <w:lang w:val="en-GB"/>
        </w:rPr>
        <w:t>progymnasmata</w:t>
      </w:r>
      <w:r w:rsidRPr="00D94E59">
        <w:rPr>
          <w:lang w:val="en-GB"/>
        </w:rPr>
        <w:t>, without any doubt,</w:t>
      </w:r>
      <w:r w:rsidRPr="00557F95">
        <w:rPr>
          <w:highlight w:val="yellow"/>
          <w:lang w:val="en-GB"/>
        </w:rPr>
        <w:t xml:space="preserve"> </w:t>
      </w:r>
      <w:r w:rsidRPr="00CC740E">
        <w:rPr>
          <w:lang w:val="en-GB"/>
        </w:rPr>
        <w:t>were written,</w:t>
      </w:r>
      <w:r w:rsidRPr="00CC740E">
        <w:rPr>
          <w:rStyle w:val="FootnoteCharacters"/>
        </w:rPr>
        <w:footnoteReference w:id="16"/>
      </w:r>
      <w:r w:rsidRPr="00CC740E">
        <w:rPr>
          <w:lang w:val="en-GB"/>
        </w:rPr>
        <w:t xml:space="preserve"> only those of four authors have been preserved, namely Theon (1</w:t>
      </w:r>
      <w:r w:rsidRPr="00CC740E">
        <w:rPr>
          <w:vertAlign w:val="superscript"/>
          <w:lang w:val="en-GB"/>
        </w:rPr>
        <w:t>st</w:t>
      </w:r>
      <w:r w:rsidRPr="00CC740E">
        <w:rPr>
          <w:lang w:val="en-GB"/>
        </w:rPr>
        <w:t xml:space="preserve"> century AD),</w:t>
      </w:r>
      <w:r w:rsidRPr="00CC740E">
        <w:rPr>
          <w:rStyle w:val="FootnoteCharacters"/>
        </w:rPr>
        <w:footnoteReference w:id="17"/>
      </w:r>
      <w:r w:rsidRPr="00CC740E">
        <w:rPr>
          <w:lang w:val="en-GB"/>
        </w:rPr>
        <w:t xml:space="preserve"> Pseudo-Hermogenes (probably 3</w:t>
      </w:r>
      <w:r w:rsidRPr="00CC740E">
        <w:rPr>
          <w:vertAlign w:val="superscript"/>
          <w:lang w:val="en-GB"/>
        </w:rPr>
        <w:t>rd</w:t>
      </w:r>
      <w:r w:rsidRPr="00CC740E">
        <w:rPr>
          <w:lang w:val="en-GB"/>
        </w:rPr>
        <w:t xml:space="preserve"> century AD), Aphthonius (4</w:t>
      </w:r>
      <w:r w:rsidRPr="00CC740E">
        <w:rPr>
          <w:vertAlign w:val="superscript"/>
          <w:lang w:val="en-GB"/>
        </w:rPr>
        <w:t>th</w:t>
      </w:r>
      <w:r w:rsidRPr="00CC740E">
        <w:rPr>
          <w:lang w:val="en-GB"/>
        </w:rPr>
        <w:t xml:space="preserve"> century AD)</w:t>
      </w:r>
      <w:r w:rsidRPr="00CC740E">
        <w:rPr>
          <w:rStyle w:val="Refdenotaalpie"/>
          <w:lang w:val="en-GB"/>
        </w:rPr>
        <w:footnoteReference w:id="18"/>
      </w:r>
      <w:r w:rsidRPr="00CC740E">
        <w:rPr>
          <w:lang w:val="en-GB"/>
        </w:rPr>
        <w:t xml:space="preserve"> and Nicholas of Myra (5</w:t>
      </w:r>
      <w:r w:rsidRPr="00CC740E">
        <w:rPr>
          <w:vertAlign w:val="superscript"/>
          <w:lang w:val="en-GB"/>
        </w:rPr>
        <w:t>th</w:t>
      </w:r>
      <w:r w:rsidRPr="00CC740E">
        <w:rPr>
          <w:lang w:val="en-GB"/>
        </w:rPr>
        <w:t xml:space="preserve"> century AD). </w:t>
      </w:r>
    </w:p>
    <w:p w:rsidR="00AB475E" w:rsidRPr="000D073F" w:rsidRDefault="00AB475E" w:rsidP="00AB475E">
      <w:pPr>
        <w:spacing w:line="360" w:lineRule="auto"/>
        <w:ind w:firstLine="708"/>
        <w:jc w:val="both"/>
        <w:rPr>
          <w:lang w:val="en-GB"/>
        </w:rPr>
      </w:pPr>
      <w:r w:rsidRPr="00356483">
        <w:rPr>
          <w:lang w:val="en-GB"/>
        </w:rPr>
        <w:t xml:space="preserve">In these treatises the </w:t>
      </w:r>
      <w:r w:rsidR="00364EE5" w:rsidRPr="00356483">
        <w:rPr>
          <w:lang w:val="en-GB"/>
        </w:rPr>
        <w:t>scheme of proofs</w:t>
      </w:r>
      <w:r w:rsidRPr="00356483">
        <w:rPr>
          <w:lang w:val="en-GB"/>
        </w:rPr>
        <w:t xml:space="preserve"> is not mentioned</w:t>
      </w:r>
      <w:r w:rsidR="00EC2265" w:rsidRPr="00356483">
        <w:rPr>
          <w:lang w:val="en-GB"/>
        </w:rPr>
        <w:t xml:space="preserve"> at all</w:t>
      </w:r>
      <w:r w:rsidR="00CC740E" w:rsidRPr="00356483">
        <w:rPr>
          <w:lang w:val="en-GB"/>
        </w:rPr>
        <w:t>, and</w:t>
      </w:r>
      <w:r w:rsidRPr="00356483">
        <w:rPr>
          <w:lang w:val="en-GB"/>
        </w:rPr>
        <w:t xml:space="preserve"> the </w:t>
      </w:r>
      <w:r w:rsidRPr="00356483">
        <w:rPr>
          <w:i/>
          <w:lang w:val="en-GB"/>
        </w:rPr>
        <w:t>paradeigma</w:t>
      </w:r>
      <w:r w:rsidR="00CC740E" w:rsidRPr="00356483">
        <w:rPr>
          <w:i/>
          <w:lang w:val="en-GB"/>
        </w:rPr>
        <w:t xml:space="preserve"> </w:t>
      </w:r>
      <w:r w:rsidR="00CC740E" w:rsidRPr="00356483">
        <w:rPr>
          <w:lang w:val="en-GB"/>
        </w:rPr>
        <w:t>hardly</w:t>
      </w:r>
      <w:r w:rsidRPr="00356483">
        <w:rPr>
          <w:lang w:val="en-GB"/>
        </w:rPr>
        <w:t>.</w:t>
      </w:r>
      <w:r w:rsidRPr="000D073F">
        <w:rPr>
          <w:lang w:val="en-GB"/>
        </w:rPr>
        <w:t xml:space="preserve"> But some of these rhetorical exercises can be related to the example, and oddly enough</w:t>
      </w:r>
      <w:r w:rsidR="000D073F" w:rsidRPr="000D073F">
        <w:rPr>
          <w:lang w:val="en-GB"/>
        </w:rPr>
        <w:t>,</w:t>
      </w:r>
      <w:r w:rsidRPr="000D073F">
        <w:rPr>
          <w:lang w:val="en-GB"/>
        </w:rPr>
        <w:t xml:space="preserve"> in them the fictional example gains prominence at the same time </w:t>
      </w:r>
      <w:r w:rsidR="000D073F" w:rsidRPr="000D073F">
        <w:rPr>
          <w:lang w:val="en-GB"/>
        </w:rPr>
        <w:t>as</w:t>
      </w:r>
      <w:r w:rsidRPr="000D073F">
        <w:rPr>
          <w:lang w:val="en-GB"/>
        </w:rPr>
        <w:t xml:space="preserve"> </w:t>
      </w:r>
      <w:r w:rsidR="00F3525F" w:rsidRPr="00356483">
        <w:rPr>
          <w:lang w:val="en-GB"/>
        </w:rPr>
        <w:t>its</w:t>
      </w:r>
      <w:r w:rsidRPr="000D073F">
        <w:rPr>
          <w:lang w:val="en-GB"/>
        </w:rPr>
        <w:t xml:space="preserve"> argumentative function becomes of secondary importance.</w:t>
      </w:r>
    </w:p>
    <w:p w:rsidR="00AB475E" w:rsidRPr="007B3436" w:rsidRDefault="00AB475E" w:rsidP="00AB475E">
      <w:pPr>
        <w:spacing w:line="360" w:lineRule="auto"/>
        <w:ind w:firstLine="708"/>
        <w:jc w:val="both"/>
        <w:rPr>
          <w:lang w:val="en-GB"/>
        </w:rPr>
      </w:pPr>
      <w:r w:rsidRPr="000D073F">
        <w:rPr>
          <w:lang w:val="en-GB"/>
        </w:rPr>
        <w:t xml:space="preserve">In the following pages an analysis </w:t>
      </w:r>
      <w:r w:rsidR="000D073F" w:rsidRPr="000D073F">
        <w:rPr>
          <w:lang w:val="en-GB"/>
        </w:rPr>
        <w:t xml:space="preserve">is made </w:t>
      </w:r>
      <w:r w:rsidRPr="000D073F">
        <w:rPr>
          <w:lang w:val="en-GB"/>
        </w:rPr>
        <w:t xml:space="preserve">of the reception of example or </w:t>
      </w:r>
      <w:r w:rsidRPr="000D073F">
        <w:rPr>
          <w:i/>
          <w:lang w:val="en-GB"/>
        </w:rPr>
        <w:t>paradeigma</w:t>
      </w:r>
      <w:r w:rsidRPr="000D073F">
        <w:rPr>
          <w:lang w:val="en-GB"/>
        </w:rPr>
        <w:t xml:space="preserve"> in the rhetorical treatises of the Imperial period, paying attention mainly to the three points mentioned above, that is, the </w:t>
      </w:r>
      <w:r w:rsidRPr="000D073F">
        <w:rPr>
          <w:i/>
          <w:lang w:val="en-GB"/>
        </w:rPr>
        <w:t>paradeigma</w:t>
      </w:r>
      <w:r w:rsidRPr="000D073F">
        <w:rPr>
          <w:lang w:val="en-GB"/>
        </w:rPr>
        <w:t xml:space="preserve"> as </w:t>
      </w:r>
      <w:r w:rsidR="000D073F" w:rsidRPr="000D073F">
        <w:rPr>
          <w:lang w:val="en-GB"/>
        </w:rPr>
        <w:t xml:space="preserve">an </w:t>
      </w:r>
      <w:r w:rsidRPr="000D073F">
        <w:rPr>
          <w:lang w:val="en-GB"/>
        </w:rPr>
        <w:t xml:space="preserve">argumentative resource, the contents of the </w:t>
      </w:r>
      <w:r w:rsidRPr="000D073F">
        <w:rPr>
          <w:i/>
          <w:lang w:val="en-GB"/>
        </w:rPr>
        <w:t>paradeigma</w:t>
      </w:r>
      <w:r w:rsidRPr="000D073F">
        <w:rPr>
          <w:lang w:val="en-GB"/>
        </w:rPr>
        <w:t xml:space="preserve"> and the </w:t>
      </w:r>
      <w:r w:rsidRPr="000D073F">
        <w:rPr>
          <w:i/>
          <w:lang w:val="en-GB"/>
        </w:rPr>
        <w:t>paradeigma</w:t>
      </w:r>
      <w:r w:rsidRPr="000D073F">
        <w:rPr>
          <w:lang w:val="en-GB"/>
        </w:rPr>
        <w:t xml:space="preserve"> in the </w:t>
      </w:r>
      <w:r w:rsidRPr="000D073F">
        <w:rPr>
          <w:i/>
          <w:lang w:val="en-GB"/>
        </w:rPr>
        <w:t>progymnasmata</w:t>
      </w:r>
      <w:r w:rsidRPr="000D073F">
        <w:rPr>
          <w:lang w:val="en-GB"/>
        </w:rPr>
        <w:t>.</w:t>
      </w:r>
      <w:r w:rsidRPr="000D073F">
        <w:rPr>
          <w:rStyle w:val="FootnoteCharacters"/>
        </w:rPr>
        <w:footnoteReference w:id="19"/>
      </w:r>
    </w:p>
    <w:p w:rsidR="00050E3E" w:rsidRDefault="00050E3E">
      <w:pPr>
        <w:spacing w:line="360" w:lineRule="auto"/>
        <w:jc w:val="both"/>
        <w:rPr>
          <w:smallCaps/>
          <w:lang w:val="en-GB"/>
        </w:rPr>
      </w:pPr>
    </w:p>
    <w:p w:rsidR="00050E3E" w:rsidRDefault="00050E3E">
      <w:pPr>
        <w:spacing w:line="360" w:lineRule="auto"/>
        <w:jc w:val="both"/>
        <w:rPr>
          <w:lang w:val="en-GB"/>
        </w:rPr>
      </w:pPr>
      <w:r>
        <w:rPr>
          <w:smallCaps/>
          <w:lang w:val="en-GB"/>
        </w:rPr>
        <w:t xml:space="preserve">The </w:t>
      </w:r>
      <w:r>
        <w:rPr>
          <w:i/>
          <w:smallCaps/>
          <w:lang w:val="en-GB"/>
        </w:rPr>
        <w:t>paradeigma</w:t>
      </w:r>
      <w:r>
        <w:rPr>
          <w:smallCaps/>
          <w:lang w:val="en-GB"/>
        </w:rPr>
        <w:t xml:space="preserve"> as an argumentative resource</w:t>
      </w:r>
    </w:p>
    <w:p w:rsidR="00050E3E" w:rsidRDefault="00050E3E">
      <w:pPr>
        <w:spacing w:line="360" w:lineRule="auto"/>
        <w:ind w:firstLine="708"/>
        <w:jc w:val="both"/>
        <w:rPr>
          <w:lang w:val="en-GB"/>
        </w:rPr>
      </w:pPr>
      <w:r>
        <w:rPr>
          <w:lang w:val="en-GB"/>
        </w:rPr>
        <w:t xml:space="preserve">In classical rhetorical theory, represented by the </w:t>
      </w:r>
      <w:r>
        <w:rPr>
          <w:i/>
          <w:lang w:val="en-GB"/>
        </w:rPr>
        <w:t>Rhetoric to Alexander</w:t>
      </w:r>
      <w:r>
        <w:rPr>
          <w:lang w:val="en-GB"/>
        </w:rPr>
        <w:t xml:space="preserve"> and Aristotle’s </w:t>
      </w:r>
      <w:r>
        <w:rPr>
          <w:i/>
          <w:lang w:val="en-GB"/>
        </w:rPr>
        <w:t>Rhetoric</w:t>
      </w:r>
      <w:r>
        <w:rPr>
          <w:lang w:val="en-GB"/>
        </w:rPr>
        <w:t xml:space="preserve">, the </w:t>
      </w:r>
      <w:r>
        <w:rPr>
          <w:i/>
          <w:lang w:val="en-GB"/>
        </w:rPr>
        <w:t>paradeigma</w:t>
      </w:r>
      <w:r>
        <w:rPr>
          <w:lang w:val="en-GB"/>
        </w:rPr>
        <w:t xml:space="preserve"> is considered primarily an argumentative resource. Concretely, both handbooks divide the rhetorical proofs into technical/artistic proofs or </w:t>
      </w:r>
      <w:r>
        <w:rPr>
          <w:i/>
          <w:lang w:val="en-GB"/>
        </w:rPr>
        <w:t>entechnoi pisteis</w:t>
      </w:r>
      <w:r>
        <w:rPr>
          <w:lang w:val="en-GB"/>
        </w:rPr>
        <w:t xml:space="preserve"> and non-technical/non-artistic proofs or </w:t>
      </w:r>
      <w:r>
        <w:rPr>
          <w:i/>
          <w:lang w:val="en-GB"/>
        </w:rPr>
        <w:t>atechnoi pisteis</w:t>
      </w:r>
      <w:r>
        <w:rPr>
          <w:lang w:val="en-GB"/>
        </w:rPr>
        <w:t xml:space="preserve"> (</w:t>
      </w:r>
      <w:r>
        <w:rPr>
          <w:i/>
          <w:lang w:val="en-GB"/>
        </w:rPr>
        <w:t>Rh.Al.</w:t>
      </w:r>
      <w:r>
        <w:rPr>
          <w:lang w:val="en-GB"/>
        </w:rPr>
        <w:t xml:space="preserve"> 7.2, 1428a16-19; </w:t>
      </w:r>
      <w:r>
        <w:rPr>
          <w:i/>
          <w:lang w:val="en-GB"/>
        </w:rPr>
        <w:t xml:space="preserve">Rh. </w:t>
      </w:r>
      <w:r>
        <w:rPr>
          <w:lang w:val="en-GB"/>
        </w:rPr>
        <w:t>1.2, 1355b35-39), although this terminology is only Aristotelian</w:t>
      </w:r>
      <w:r w:rsidR="00E740AF">
        <w:rPr>
          <w:lang w:val="en-GB"/>
        </w:rPr>
        <w:t>,</w:t>
      </w:r>
      <w:r>
        <w:rPr>
          <w:rStyle w:val="FootnoteCharacters"/>
        </w:rPr>
        <w:footnoteReference w:id="20"/>
      </w:r>
      <w:r>
        <w:rPr>
          <w:lang w:val="en-GB"/>
        </w:rPr>
        <w:t xml:space="preserve"> and they include the </w:t>
      </w:r>
      <w:r>
        <w:rPr>
          <w:i/>
          <w:lang w:val="en-GB"/>
        </w:rPr>
        <w:t>paradeigma</w:t>
      </w:r>
      <w:r>
        <w:rPr>
          <w:lang w:val="en-GB"/>
        </w:rPr>
        <w:t>, understood as a fact (</w:t>
      </w:r>
      <w:r>
        <w:rPr>
          <w:i/>
          <w:lang w:val="en-GB"/>
        </w:rPr>
        <w:t>illustrans</w:t>
      </w:r>
      <w:r>
        <w:rPr>
          <w:lang w:val="en-GB"/>
        </w:rPr>
        <w:t>) different from the explained fact (</w:t>
      </w:r>
      <w:r>
        <w:rPr>
          <w:i/>
          <w:lang w:val="en-GB"/>
        </w:rPr>
        <w:t>illustrandum</w:t>
      </w:r>
      <w:r>
        <w:rPr>
          <w:lang w:val="en-GB"/>
        </w:rPr>
        <w:t xml:space="preserve">) but related </w:t>
      </w:r>
      <w:r w:rsidR="009104DE">
        <w:rPr>
          <w:lang w:val="en-GB"/>
        </w:rPr>
        <w:t xml:space="preserve">to </w:t>
      </w:r>
      <w:r>
        <w:rPr>
          <w:lang w:val="en-GB"/>
        </w:rPr>
        <w:t xml:space="preserve">it generally because of its similarity, in the artistic proofs. </w:t>
      </w:r>
      <w:r w:rsidR="009104DE">
        <w:rPr>
          <w:lang w:val="en-GB"/>
        </w:rPr>
        <w:t xml:space="preserve">Within </w:t>
      </w:r>
      <w:r>
        <w:rPr>
          <w:lang w:val="en-GB"/>
        </w:rPr>
        <w:t>this group both handbooks give priority to two proofs, although these, even though they are similar, are not the same in both cases.</w:t>
      </w:r>
    </w:p>
    <w:p w:rsidR="00050E3E" w:rsidRDefault="00050E3E">
      <w:pPr>
        <w:spacing w:line="360" w:lineRule="auto"/>
        <w:ind w:firstLine="708"/>
        <w:jc w:val="both"/>
        <w:rPr>
          <w:lang w:val="en-GB"/>
        </w:rPr>
      </w:pPr>
      <w:r>
        <w:rPr>
          <w:lang w:val="en-GB"/>
        </w:rPr>
        <w:t xml:space="preserve">The </w:t>
      </w:r>
      <w:r>
        <w:rPr>
          <w:i/>
          <w:lang w:val="en-GB"/>
        </w:rPr>
        <w:t>Rhetoric to Alexander</w:t>
      </w:r>
      <w:r>
        <w:rPr>
          <w:lang w:val="en-GB"/>
        </w:rPr>
        <w:t xml:space="preserve"> includes seven proofs </w:t>
      </w:r>
      <w:r w:rsidR="009104DE">
        <w:rPr>
          <w:lang w:val="en-GB"/>
        </w:rPr>
        <w:t xml:space="preserve">among </w:t>
      </w:r>
      <w:r>
        <w:rPr>
          <w:lang w:val="en-GB"/>
        </w:rPr>
        <w:t>the artistic proofs (</w:t>
      </w:r>
      <w:r>
        <w:rPr>
          <w:i/>
          <w:lang w:val="en-GB"/>
        </w:rPr>
        <w:t>Rh.Al.</w:t>
      </w:r>
      <w:r>
        <w:rPr>
          <w:lang w:val="en-GB"/>
        </w:rPr>
        <w:t xml:space="preserve"> 7.2, 1428a20-23; cf. </w:t>
      </w:r>
      <w:r>
        <w:rPr>
          <w:i/>
          <w:lang w:val="en-GB"/>
        </w:rPr>
        <w:t>Rh.Al</w:t>
      </w:r>
      <w:r>
        <w:rPr>
          <w:lang w:val="en-GB"/>
        </w:rPr>
        <w:t>. 7.4-14.7, 1428a26-1431b8)</w:t>
      </w:r>
      <w:r w:rsidR="00E740AF">
        <w:rPr>
          <w:lang w:val="en-GB"/>
        </w:rPr>
        <w:t>,</w:t>
      </w:r>
      <w:r>
        <w:rPr>
          <w:rStyle w:val="FootnoteCharacters"/>
        </w:rPr>
        <w:footnoteReference w:id="21"/>
      </w:r>
      <w:r>
        <w:rPr>
          <w:lang w:val="en-GB"/>
        </w:rPr>
        <w:t xml:space="preserve"> but the first two are more developed, </w:t>
      </w:r>
      <w:r w:rsidR="00CE2040">
        <w:rPr>
          <w:lang w:val="en-GB"/>
        </w:rPr>
        <w:t>these being</w:t>
      </w:r>
      <w:r>
        <w:rPr>
          <w:lang w:val="en-GB"/>
        </w:rPr>
        <w:t xml:space="preserve"> the probability or </w:t>
      </w:r>
      <w:r>
        <w:rPr>
          <w:i/>
          <w:lang w:val="en-GB"/>
        </w:rPr>
        <w:t>eikos</w:t>
      </w:r>
      <w:r>
        <w:rPr>
          <w:lang w:val="en-GB"/>
        </w:rPr>
        <w:t xml:space="preserve"> argument and the </w:t>
      </w:r>
      <w:r>
        <w:rPr>
          <w:i/>
          <w:lang w:val="en-GB"/>
        </w:rPr>
        <w:t>paradeigma</w:t>
      </w:r>
      <w:r>
        <w:rPr>
          <w:lang w:val="en-GB"/>
        </w:rPr>
        <w:t xml:space="preserve">. Both proofs are supplementary, in the sense that the </w:t>
      </w:r>
      <w:r>
        <w:rPr>
          <w:i/>
          <w:lang w:val="en-GB"/>
        </w:rPr>
        <w:t>eikos</w:t>
      </w:r>
      <w:r>
        <w:rPr>
          <w:lang w:val="en-GB"/>
        </w:rPr>
        <w:t xml:space="preserve"> is “what is being said when the audience has examples in their thoughts” (</w:t>
      </w:r>
      <w:r>
        <w:rPr>
          <w:rFonts w:ascii="GR Times New Roman" w:hAnsi="GR Times New Roman" w:cs="GR Times New Roman"/>
        </w:rPr>
        <w:t>Εἰκὸς</w:t>
      </w:r>
      <w:r>
        <w:rPr>
          <w:rFonts w:ascii="GR Times New Roman" w:hAnsi="GR Times New Roman" w:cs="GR Times New Roman"/>
          <w:lang w:val="en-GB"/>
        </w:rPr>
        <w:t xml:space="preserve"> </w:t>
      </w:r>
      <w:r>
        <w:rPr>
          <w:rFonts w:ascii="GR Times New Roman" w:hAnsi="GR Times New Roman" w:cs="GR Times New Roman"/>
        </w:rPr>
        <w:t>μὲν</w:t>
      </w:r>
      <w:r>
        <w:rPr>
          <w:rFonts w:ascii="GR Times New Roman" w:hAnsi="GR Times New Roman" w:cs="GR Times New Roman"/>
          <w:lang w:val="en-GB"/>
        </w:rPr>
        <w:t xml:space="preserve"> </w:t>
      </w:r>
      <w:r>
        <w:rPr>
          <w:rFonts w:ascii="GR Times New Roman" w:hAnsi="GR Times New Roman" w:cs="GR Times New Roman"/>
        </w:rPr>
        <w:t>οὖν</w:t>
      </w:r>
      <w:r>
        <w:rPr>
          <w:rFonts w:ascii="GR Times New Roman" w:hAnsi="GR Times New Roman" w:cs="GR Times New Roman"/>
          <w:lang w:val="en-GB"/>
        </w:rPr>
        <w:t xml:space="preserve"> </w:t>
      </w:r>
      <w:r>
        <w:rPr>
          <w:rFonts w:ascii="GR Times New Roman" w:hAnsi="GR Times New Roman" w:cs="GR Times New Roman"/>
        </w:rPr>
        <w:t>ἐστιν</w:t>
      </w:r>
      <w:r>
        <w:rPr>
          <w:rFonts w:ascii="GR Times New Roman" w:hAnsi="GR Times New Roman" w:cs="GR Times New Roman"/>
          <w:lang w:val="en-GB"/>
        </w:rPr>
        <w:t xml:space="preserve">, </w:t>
      </w:r>
      <w:r>
        <w:rPr>
          <w:rFonts w:ascii="GR Times New Roman" w:hAnsi="GR Times New Roman" w:cs="GR Times New Roman"/>
        </w:rPr>
        <w:t>οὗ</w:t>
      </w:r>
      <w:r>
        <w:rPr>
          <w:rFonts w:ascii="GR Times New Roman" w:hAnsi="GR Times New Roman" w:cs="GR Times New Roman"/>
          <w:lang w:val="en-GB"/>
        </w:rPr>
        <w:t xml:space="preserve"> </w:t>
      </w:r>
      <w:r>
        <w:rPr>
          <w:rFonts w:ascii="GR Times New Roman" w:hAnsi="GR Times New Roman" w:cs="GR Times New Roman"/>
        </w:rPr>
        <w:t>λεγομένου</w:t>
      </w:r>
      <w:r>
        <w:rPr>
          <w:rFonts w:ascii="GR Times New Roman" w:hAnsi="GR Times New Roman" w:cs="GR Times New Roman"/>
          <w:lang w:val="en-GB"/>
        </w:rPr>
        <w:t xml:space="preserve"> </w:t>
      </w:r>
      <w:r>
        <w:rPr>
          <w:rFonts w:ascii="GR Times New Roman" w:hAnsi="GR Times New Roman" w:cs="GR Times New Roman"/>
        </w:rPr>
        <w:t>παραδείγματα</w:t>
      </w:r>
      <w:r>
        <w:rPr>
          <w:rFonts w:ascii="GR Times New Roman" w:hAnsi="GR Times New Roman" w:cs="GR Times New Roman"/>
          <w:lang w:val="en-GB"/>
        </w:rPr>
        <w:t xml:space="preserve"> </w:t>
      </w:r>
      <w:r>
        <w:rPr>
          <w:rFonts w:ascii="GR Times New Roman" w:hAnsi="GR Times New Roman" w:cs="GR Times New Roman"/>
        </w:rPr>
        <w:t>ἐν</w:t>
      </w:r>
      <w:r>
        <w:rPr>
          <w:rFonts w:ascii="GR Times New Roman" w:hAnsi="GR Times New Roman" w:cs="GR Times New Roman"/>
          <w:lang w:val="en-GB"/>
        </w:rPr>
        <w:t xml:space="preserve"> </w:t>
      </w:r>
      <w:r>
        <w:rPr>
          <w:rFonts w:ascii="GR Times New Roman" w:hAnsi="GR Times New Roman" w:cs="GR Times New Roman"/>
        </w:rPr>
        <w:t>ταῖς</w:t>
      </w:r>
      <w:r>
        <w:rPr>
          <w:rFonts w:ascii="GR Times New Roman" w:hAnsi="GR Times New Roman" w:cs="GR Times New Roman"/>
          <w:lang w:val="en-GB"/>
        </w:rPr>
        <w:t xml:space="preserve"> </w:t>
      </w:r>
      <w:r>
        <w:rPr>
          <w:rFonts w:ascii="GR Times New Roman" w:hAnsi="GR Times New Roman" w:cs="GR Times New Roman"/>
        </w:rPr>
        <w:t>διανοίαις</w:t>
      </w:r>
      <w:r>
        <w:rPr>
          <w:rFonts w:ascii="GR Times New Roman" w:hAnsi="GR Times New Roman" w:cs="GR Times New Roman"/>
          <w:lang w:val="en-GB"/>
        </w:rPr>
        <w:t xml:space="preserve"> </w:t>
      </w:r>
      <w:r>
        <w:rPr>
          <w:rFonts w:ascii="GR Times New Roman" w:hAnsi="GR Times New Roman" w:cs="GR Times New Roman"/>
        </w:rPr>
        <w:t>ἔχουσιν</w:t>
      </w:r>
      <w:r>
        <w:rPr>
          <w:rFonts w:ascii="GR Times New Roman" w:hAnsi="GR Times New Roman" w:cs="GR Times New Roman"/>
          <w:lang w:val="en-GB"/>
        </w:rPr>
        <w:t xml:space="preserve"> </w:t>
      </w:r>
      <w:r>
        <w:rPr>
          <w:rFonts w:ascii="GR Times New Roman" w:hAnsi="GR Times New Roman" w:cs="GR Times New Roman"/>
        </w:rPr>
        <w:t>οἱ</w:t>
      </w:r>
      <w:r>
        <w:rPr>
          <w:rFonts w:ascii="GR Times New Roman" w:hAnsi="GR Times New Roman" w:cs="GR Times New Roman"/>
          <w:lang w:val="en-GB"/>
        </w:rPr>
        <w:t xml:space="preserve"> </w:t>
      </w:r>
      <w:r>
        <w:rPr>
          <w:rFonts w:ascii="GR Times New Roman" w:hAnsi="GR Times New Roman" w:cs="GR Times New Roman"/>
        </w:rPr>
        <w:t>ἀκούοντες</w:t>
      </w:r>
      <w:r>
        <w:rPr>
          <w:lang w:val="en-GB"/>
        </w:rPr>
        <w:t xml:space="preserve">, </w:t>
      </w:r>
      <w:r>
        <w:rPr>
          <w:i/>
          <w:lang w:val="en-GB"/>
        </w:rPr>
        <w:t>Rh.Al</w:t>
      </w:r>
      <w:r>
        <w:rPr>
          <w:lang w:val="en-GB"/>
        </w:rPr>
        <w:t>. 7.4, 1428a25-26)</w:t>
      </w:r>
      <w:r w:rsidR="00E740AF">
        <w:rPr>
          <w:lang w:val="en-GB"/>
        </w:rPr>
        <w:t>,</w:t>
      </w:r>
      <w:r>
        <w:rPr>
          <w:rStyle w:val="FootnoteCharacters"/>
        </w:rPr>
        <w:footnoteReference w:id="22"/>
      </w:r>
      <w:r>
        <w:rPr>
          <w:lang w:val="en-GB"/>
        </w:rPr>
        <w:t xml:space="preserve"> while </w:t>
      </w:r>
      <w:r w:rsidR="00C0354B">
        <w:rPr>
          <w:lang w:val="en-GB"/>
        </w:rPr>
        <w:t xml:space="preserve">the use of </w:t>
      </w:r>
      <w:r w:rsidRPr="00CE2040">
        <w:rPr>
          <w:i/>
          <w:iCs/>
          <w:lang w:val="en-GB"/>
        </w:rPr>
        <w:t>paradeigma</w:t>
      </w:r>
      <w:r>
        <w:rPr>
          <w:lang w:val="en-GB"/>
        </w:rPr>
        <w:t xml:space="preserve"> is recommended when </w:t>
      </w:r>
      <w:r w:rsidR="00C0354B">
        <w:rPr>
          <w:lang w:val="en-GB"/>
        </w:rPr>
        <w:t>it</w:t>
      </w:r>
      <w:r>
        <w:rPr>
          <w:lang w:val="en-GB"/>
        </w:rPr>
        <w:t xml:space="preserve"> is not possible</w:t>
      </w:r>
      <w:r w:rsidR="00C0354B" w:rsidRPr="00C0354B">
        <w:rPr>
          <w:lang w:val="en-GB"/>
        </w:rPr>
        <w:t xml:space="preserve"> to use probability</w:t>
      </w:r>
      <w:r>
        <w:rPr>
          <w:lang w:val="en-GB"/>
        </w:rPr>
        <w:t xml:space="preserve"> (</w:t>
      </w:r>
      <w:bookmarkStart w:id="0" w:name="_Hlk427742322"/>
      <w:r>
        <w:rPr>
          <w:i/>
          <w:lang w:val="en-GB"/>
        </w:rPr>
        <w:t>Rh.Al</w:t>
      </w:r>
      <w:r>
        <w:rPr>
          <w:lang w:val="en-GB"/>
        </w:rPr>
        <w:t>. 8.1-2, 1429a22-27</w:t>
      </w:r>
      <w:bookmarkEnd w:id="0"/>
      <w:r>
        <w:rPr>
          <w:lang w:val="en-GB"/>
        </w:rPr>
        <w:t xml:space="preserve">; </w:t>
      </w:r>
      <w:r>
        <w:rPr>
          <w:i/>
          <w:lang w:val="en-GB"/>
        </w:rPr>
        <w:t>Rh.Al</w:t>
      </w:r>
      <w:r>
        <w:rPr>
          <w:lang w:val="en-GB"/>
        </w:rPr>
        <w:t>. 14.1, 1431a25-27).</w:t>
      </w:r>
    </w:p>
    <w:p w:rsidR="00050E3E" w:rsidRDefault="00050E3E">
      <w:pPr>
        <w:spacing w:line="360" w:lineRule="auto"/>
        <w:ind w:firstLine="708"/>
        <w:jc w:val="both"/>
        <w:rPr>
          <w:lang w:val="en-GB"/>
        </w:rPr>
      </w:pPr>
      <w:r>
        <w:rPr>
          <w:lang w:val="en-GB"/>
        </w:rPr>
        <w:t xml:space="preserve">Aristotle creates a more complex system, according to which the artistic proofs can be developed in the sphere of the </w:t>
      </w:r>
      <w:r>
        <w:rPr>
          <w:i/>
          <w:lang w:val="en-GB"/>
        </w:rPr>
        <w:t>ethos</w:t>
      </w:r>
      <w:r>
        <w:rPr>
          <w:lang w:val="en-GB"/>
        </w:rPr>
        <w:t xml:space="preserve">, the </w:t>
      </w:r>
      <w:r>
        <w:rPr>
          <w:i/>
          <w:lang w:val="en-GB"/>
        </w:rPr>
        <w:t>pathos</w:t>
      </w:r>
      <w:r>
        <w:rPr>
          <w:lang w:val="en-GB"/>
        </w:rPr>
        <w:t xml:space="preserve"> and the </w:t>
      </w:r>
      <w:r>
        <w:rPr>
          <w:i/>
          <w:lang w:val="en-GB"/>
        </w:rPr>
        <w:t>logos</w:t>
      </w:r>
      <w:r>
        <w:rPr>
          <w:lang w:val="en-GB"/>
        </w:rPr>
        <w:t xml:space="preserve"> or </w:t>
      </w:r>
      <w:r>
        <w:rPr>
          <w:i/>
          <w:lang w:val="en-GB"/>
        </w:rPr>
        <w:t xml:space="preserve">pragma </w:t>
      </w:r>
      <w:r>
        <w:rPr>
          <w:lang w:val="en-GB"/>
        </w:rPr>
        <w:t>(</w:t>
      </w:r>
      <w:r>
        <w:rPr>
          <w:i/>
          <w:lang w:val="en-GB"/>
        </w:rPr>
        <w:t>Rh</w:t>
      </w:r>
      <w:r>
        <w:rPr>
          <w:lang w:val="en-GB"/>
        </w:rPr>
        <w:t xml:space="preserve">. 1.2, 1356a1-4), and through two means, which are the </w:t>
      </w:r>
      <w:r>
        <w:rPr>
          <w:i/>
          <w:lang w:val="en-GB"/>
        </w:rPr>
        <w:t>paradeigma</w:t>
      </w:r>
      <w:r>
        <w:rPr>
          <w:lang w:val="en-GB"/>
        </w:rPr>
        <w:t xml:space="preserve"> and the enthymeme (</w:t>
      </w:r>
      <w:r>
        <w:rPr>
          <w:i/>
          <w:lang w:val="en-GB"/>
        </w:rPr>
        <w:t>Rh</w:t>
      </w:r>
      <w:r>
        <w:rPr>
          <w:lang w:val="en-GB"/>
        </w:rPr>
        <w:t>. 1.2, 1356b6-8</w:t>
      </w:r>
      <w:r>
        <w:t>;</w:t>
      </w:r>
      <w:r>
        <w:rPr>
          <w:lang w:val="en-GB"/>
        </w:rPr>
        <w:t xml:space="preserve"> cf. </w:t>
      </w:r>
      <w:r>
        <w:rPr>
          <w:i/>
          <w:lang w:val="en-GB"/>
        </w:rPr>
        <w:t>Rh</w:t>
      </w:r>
      <w:r>
        <w:rPr>
          <w:lang w:val="en-GB"/>
        </w:rPr>
        <w:t xml:space="preserve">. 2.20, 1393a24-25). Since the enthymeme is developed from the probable or </w:t>
      </w:r>
      <w:r>
        <w:rPr>
          <w:i/>
          <w:lang w:val="en-GB"/>
        </w:rPr>
        <w:t>eikos</w:t>
      </w:r>
      <w:r>
        <w:rPr>
          <w:lang w:val="en-GB"/>
        </w:rPr>
        <w:t xml:space="preserve"> (also from the sign or </w:t>
      </w:r>
      <w:r>
        <w:rPr>
          <w:i/>
          <w:lang w:val="en-GB"/>
        </w:rPr>
        <w:t>semeion</w:t>
      </w:r>
      <w:r>
        <w:rPr>
          <w:lang w:val="en-GB"/>
        </w:rPr>
        <w:t xml:space="preserve">; </w:t>
      </w:r>
      <w:r>
        <w:rPr>
          <w:i/>
          <w:lang w:val="en-GB"/>
        </w:rPr>
        <w:t>Rh</w:t>
      </w:r>
      <w:r>
        <w:rPr>
          <w:lang w:val="en-GB"/>
        </w:rPr>
        <w:t xml:space="preserve">. 1.2, 1357a31-32), the pair of </w:t>
      </w:r>
      <w:r>
        <w:rPr>
          <w:i/>
          <w:lang w:val="en-GB"/>
        </w:rPr>
        <w:t>paradeigma</w:t>
      </w:r>
      <w:r>
        <w:rPr>
          <w:lang w:val="en-GB"/>
        </w:rPr>
        <w:t xml:space="preserve"> and enthymeme is similar (although </w:t>
      </w:r>
      <w:r w:rsidR="00CE2040">
        <w:rPr>
          <w:lang w:val="en-GB"/>
        </w:rPr>
        <w:t xml:space="preserve">not </w:t>
      </w:r>
      <w:r>
        <w:rPr>
          <w:lang w:val="en-GB"/>
        </w:rPr>
        <w:t xml:space="preserve">identical) to the pair that the </w:t>
      </w:r>
      <w:r>
        <w:rPr>
          <w:i/>
          <w:lang w:val="en-GB"/>
        </w:rPr>
        <w:t>Rhetoric to Alexander</w:t>
      </w:r>
      <w:r>
        <w:rPr>
          <w:lang w:val="en-GB"/>
        </w:rPr>
        <w:t xml:space="preserve"> establishes </w:t>
      </w:r>
      <w:r w:rsidR="00CE2040">
        <w:rPr>
          <w:lang w:val="en-GB"/>
        </w:rPr>
        <w:t xml:space="preserve">of </w:t>
      </w:r>
      <w:r>
        <w:rPr>
          <w:i/>
          <w:lang w:val="en-GB"/>
        </w:rPr>
        <w:t>eikos</w:t>
      </w:r>
      <w:r>
        <w:rPr>
          <w:lang w:val="en-GB"/>
        </w:rPr>
        <w:t xml:space="preserve"> and </w:t>
      </w:r>
      <w:r>
        <w:rPr>
          <w:i/>
          <w:lang w:val="en-GB"/>
        </w:rPr>
        <w:t>paradeigma</w:t>
      </w:r>
      <w:r w:rsidR="00A54D47">
        <w:rPr>
          <w:i/>
          <w:lang w:val="en-GB"/>
        </w:rPr>
        <w:t>.</w:t>
      </w:r>
      <w:r w:rsidR="00AB475E" w:rsidRPr="00A54D47">
        <w:rPr>
          <w:rStyle w:val="Refdenotaalpie"/>
          <w:lang w:val="en-GB"/>
        </w:rPr>
        <w:footnoteReference w:id="23"/>
      </w:r>
    </w:p>
    <w:p w:rsidR="00050E3E" w:rsidRPr="0016461C" w:rsidRDefault="00050E3E">
      <w:pPr>
        <w:spacing w:line="360" w:lineRule="auto"/>
        <w:ind w:firstLine="708"/>
        <w:jc w:val="both"/>
        <w:rPr>
          <w:lang w:val="en-GB"/>
        </w:rPr>
      </w:pPr>
      <w:r>
        <w:rPr>
          <w:lang w:val="en-GB"/>
        </w:rPr>
        <w:t xml:space="preserve">In explaining the </w:t>
      </w:r>
      <w:r>
        <w:rPr>
          <w:i/>
          <w:lang w:val="en-GB"/>
        </w:rPr>
        <w:t>paradeigma</w:t>
      </w:r>
      <w:r>
        <w:rPr>
          <w:lang w:val="en-GB"/>
        </w:rPr>
        <w:t xml:space="preserve"> and the enthymeme, Aristotle equates them with the induction and syllogism respectively (</w:t>
      </w:r>
      <w:r>
        <w:rPr>
          <w:i/>
          <w:lang w:val="en-GB"/>
        </w:rPr>
        <w:t>Rh</w:t>
      </w:r>
      <w:r>
        <w:rPr>
          <w:lang w:val="en-GB"/>
        </w:rPr>
        <w:t xml:space="preserve">. 1.2, 1356b2-6), so that the </w:t>
      </w:r>
      <w:r>
        <w:rPr>
          <w:i/>
          <w:lang w:val="en-GB"/>
        </w:rPr>
        <w:t>paradeigma</w:t>
      </w:r>
      <w:r>
        <w:rPr>
          <w:lang w:val="en-GB"/>
        </w:rPr>
        <w:t xml:space="preserve"> proves from particular cases and the enthymeme does </w:t>
      </w:r>
      <w:r w:rsidR="009104DE">
        <w:rPr>
          <w:lang w:val="en-GB"/>
        </w:rPr>
        <w:t xml:space="preserve">so </w:t>
      </w:r>
      <w:r>
        <w:rPr>
          <w:lang w:val="en-GB"/>
        </w:rPr>
        <w:t>from general premises (</w:t>
      </w:r>
      <w:r>
        <w:rPr>
          <w:i/>
          <w:lang w:val="en-GB"/>
        </w:rPr>
        <w:t>Rh</w:t>
      </w:r>
      <w:r>
        <w:rPr>
          <w:lang w:val="en-GB"/>
        </w:rPr>
        <w:t xml:space="preserve">. 1.2, 1356b14-18). But in the second book of </w:t>
      </w:r>
      <w:r>
        <w:rPr>
          <w:i/>
          <w:lang w:val="en-GB"/>
        </w:rPr>
        <w:t>Rhetoric</w:t>
      </w:r>
      <w:r>
        <w:rPr>
          <w:lang w:val="en-GB"/>
        </w:rPr>
        <w:t xml:space="preserve"> the example appears also as a source of enthymemes, together with the probability and the signs, conclusive or not (</w:t>
      </w:r>
      <w:r>
        <w:rPr>
          <w:i/>
          <w:lang w:val="en-GB"/>
        </w:rPr>
        <w:t>Rh</w:t>
      </w:r>
      <w:r>
        <w:rPr>
          <w:lang w:val="en-GB"/>
        </w:rPr>
        <w:t>. 2.25, 1402b13-14). From th</w:t>
      </w:r>
      <w:r w:rsidR="00F7184E">
        <w:rPr>
          <w:lang w:val="en-GB"/>
        </w:rPr>
        <w:t>is</w:t>
      </w:r>
      <w:r>
        <w:rPr>
          <w:lang w:val="en-GB"/>
        </w:rPr>
        <w:t xml:space="preserve"> it is concluded that the example in Aristotle can be two things, a proof similar to the induction</w:t>
      </w:r>
      <w:r w:rsidR="00E740AF">
        <w:rPr>
          <w:lang w:val="en-GB"/>
        </w:rPr>
        <w:t>,</w:t>
      </w:r>
      <w:r>
        <w:rPr>
          <w:rStyle w:val="FootnoteCharacters"/>
        </w:rPr>
        <w:footnoteReference w:id="24"/>
      </w:r>
      <w:r>
        <w:rPr>
          <w:lang w:val="en-GB"/>
        </w:rPr>
        <w:t xml:space="preserve"> as well as a source of enthymemes, in the sense that it supplies the premise of </w:t>
      </w:r>
      <w:r w:rsidR="00982178">
        <w:rPr>
          <w:lang w:val="en-GB"/>
        </w:rPr>
        <w:t>an argument</w:t>
      </w:r>
      <w:r>
        <w:rPr>
          <w:lang w:val="en-GB"/>
        </w:rPr>
        <w:t xml:space="preserve">. In accordance with this distinction, the term </w:t>
      </w:r>
      <w:r>
        <w:rPr>
          <w:i/>
          <w:lang w:val="en-GB"/>
        </w:rPr>
        <w:t>paradeigma</w:t>
      </w:r>
      <w:r>
        <w:rPr>
          <w:lang w:val="en-GB"/>
        </w:rPr>
        <w:t xml:space="preserve"> designates in Aristotle the resource as a whole, comparable to the induction, as well as the </w:t>
      </w:r>
      <w:r>
        <w:rPr>
          <w:i/>
          <w:lang w:val="en-GB"/>
        </w:rPr>
        <w:t>illustrantia</w:t>
      </w:r>
      <w:r>
        <w:rPr>
          <w:lang w:val="en-GB"/>
        </w:rPr>
        <w:t xml:space="preserve"> or elements which are related </w:t>
      </w:r>
      <w:r w:rsidR="00CE2040">
        <w:rPr>
          <w:lang w:val="en-GB"/>
        </w:rPr>
        <w:t xml:space="preserve">to </w:t>
      </w:r>
      <w:r>
        <w:rPr>
          <w:lang w:val="en-GB"/>
        </w:rPr>
        <w:t xml:space="preserve">the </w:t>
      </w:r>
      <w:r>
        <w:rPr>
          <w:i/>
          <w:lang w:val="en-GB"/>
        </w:rPr>
        <w:t>illustrandum</w:t>
      </w:r>
      <w:r>
        <w:rPr>
          <w:lang w:val="en-GB"/>
        </w:rPr>
        <w:t xml:space="preserve"> through similarity. In both senses the </w:t>
      </w:r>
      <w:r>
        <w:rPr>
          <w:i/>
          <w:lang w:val="en-GB"/>
        </w:rPr>
        <w:t>paradeigma</w:t>
      </w:r>
      <w:r>
        <w:rPr>
          <w:lang w:val="en-GB"/>
        </w:rPr>
        <w:t xml:space="preserve"> is, or plays a part in, a method of reasoning</w:t>
      </w:r>
      <w:r w:rsidR="00E740AF">
        <w:rPr>
          <w:lang w:val="en-GB"/>
        </w:rPr>
        <w:t>.</w:t>
      </w:r>
      <w:r>
        <w:rPr>
          <w:rStyle w:val="FootnoteCharacters"/>
        </w:rPr>
        <w:footnoteReference w:id="25"/>
      </w:r>
      <w:r>
        <w:rPr>
          <w:lang w:val="en-GB"/>
        </w:rPr>
        <w:t xml:space="preserve"> However, </w:t>
      </w:r>
      <w:r w:rsidR="00CE2040">
        <w:rPr>
          <w:lang w:val="en-GB"/>
        </w:rPr>
        <w:t>how</w:t>
      </w:r>
      <w:r>
        <w:rPr>
          <w:lang w:val="en-GB"/>
        </w:rPr>
        <w:t xml:space="preserve"> is this view of the example received in the late rhetorical treatises?</w:t>
      </w:r>
    </w:p>
    <w:p w:rsidR="00050E3E" w:rsidRPr="0016461C" w:rsidRDefault="00050E3E">
      <w:pPr>
        <w:spacing w:line="360" w:lineRule="auto"/>
        <w:jc w:val="both"/>
        <w:rPr>
          <w:lang w:val="en-GB"/>
        </w:rPr>
      </w:pPr>
      <w:r w:rsidRPr="0016461C">
        <w:rPr>
          <w:lang w:val="en-GB"/>
        </w:rPr>
        <w:tab/>
      </w:r>
      <w:r>
        <w:rPr>
          <w:lang w:val="en-GB"/>
        </w:rPr>
        <w:t xml:space="preserve">In the </w:t>
      </w:r>
      <w:r w:rsidR="00CE2040">
        <w:rPr>
          <w:lang w:val="en-GB"/>
        </w:rPr>
        <w:t xml:space="preserve">generalising </w:t>
      </w:r>
      <w:r>
        <w:rPr>
          <w:lang w:val="en-GB"/>
        </w:rPr>
        <w:t>treatises from the 2</w:t>
      </w:r>
      <w:r>
        <w:rPr>
          <w:vertAlign w:val="superscript"/>
          <w:lang w:val="en-GB"/>
        </w:rPr>
        <w:t>nd</w:t>
      </w:r>
      <w:r>
        <w:rPr>
          <w:lang w:val="en-GB"/>
        </w:rPr>
        <w:t xml:space="preserve"> and 3</w:t>
      </w:r>
      <w:r>
        <w:rPr>
          <w:vertAlign w:val="superscript"/>
          <w:lang w:val="en-GB"/>
        </w:rPr>
        <w:t>rd</w:t>
      </w:r>
      <w:r>
        <w:rPr>
          <w:lang w:val="en-GB"/>
        </w:rPr>
        <w:t xml:space="preserve"> centuries A</w:t>
      </w:r>
      <w:r w:rsidR="00CE1D71">
        <w:rPr>
          <w:lang w:val="en-GB"/>
        </w:rPr>
        <w:t>D</w:t>
      </w:r>
      <w:r>
        <w:rPr>
          <w:lang w:val="en-GB"/>
        </w:rPr>
        <w:t>, where the theory of Hermogenes is still not meaningful (Hermogenes starts having strong influence only from the 4</w:t>
      </w:r>
      <w:r>
        <w:rPr>
          <w:vertAlign w:val="superscript"/>
          <w:lang w:val="en-GB"/>
        </w:rPr>
        <w:t>th</w:t>
      </w:r>
      <w:r>
        <w:rPr>
          <w:lang w:val="en-GB"/>
        </w:rPr>
        <w:t xml:space="preserve"> century A</w:t>
      </w:r>
      <w:r w:rsidR="00CE1D71">
        <w:rPr>
          <w:lang w:val="en-GB"/>
        </w:rPr>
        <w:t>D</w:t>
      </w:r>
      <w:r>
        <w:rPr>
          <w:lang w:val="en-GB"/>
        </w:rPr>
        <w:t xml:space="preserve"> on), the rhetoric is still largely Aristotelian</w:t>
      </w:r>
      <w:r w:rsidR="00E740AF">
        <w:rPr>
          <w:lang w:val="en-GB"/>
        </w:rPr>
        <w:t>,</w:t>
      </w:r>
      <w:r>
        <w:rPr>
          <w:rStyle w:val="FootnoteCharacters"/>
        </w:rPr>
        <w:footnoteReference w:id="26"/>
      </w:r>
      <w:r>
        <w:rPr>
          <w:lang w:val="en-GB"/>
        </w:rPr>
        <w:t xml:space="preserve"> and in them the </w:t>
      </w:r>
      <w:r>
        <w:rPr>
          <w:i/>
          <w:lang w:val="en-GB"/>
        </w:rPr>
        <w:t>paradeigma</w:t>
      </w:r>
      <w:r>
        <w:rPr>
          <w:lang w:val="en-GB"/>
        </w:rPr>
        <w:t xml:space="preserve"> continues </w:t>
      </w:r>
      <w:r w:rsidR="00CE2040">
        <w:rPr>
          <w:lang w:val="en-GB"/>
        </w:rPr>
        <w:t xml:space="preserve">to be </w:t>
      </w:r>
      <w:r>
        <w:rPr>
          <w:lang w:val="en-GB"/>
        </w:rPr>
        <w:t>primarily an argumentative resource.</w:t>
      </w:r>
    </w:p>
    <w:p w:rsidR="00050E3E" w:rsidRDefault="00050E3E">
      <w:pPr>
        <w:spacing w:line="360" w:lineRule="auto"/>
        <w:jc w:val="both"/>
        <w:rPr>
          <w:lang w:val="en-GB"/>
        </w:rPr>
      </w:pPr>
      <w:r w:rsidRPr="0016461C">
        <w:rPr>
          <w:lang w:val="en-GB"/>
        </w:rPr>
        <w:tab/>
      </w:r>
      <w:r>
        <w:rPr>
          <w:lang w:val="en-GB"/>
        </w:rPr>
        <w:t xml:space="preserve">This happens in the </w:t>
      </w:r>
      <w:r>
        <w:rPr>
          <w:i/>
          <w:lang w:val="en-GB"/>
        </w:rPr>
        <w:t>Art of Political Speech</w:t>
      </w:r>
      <w:r>
        <w:rPr>
          <w:lang w:val="en-GB"/>
        </w:rPr>
        <w:t xml:space="preserve"> (</w:t>
      </w:r>
      <w:r>
        <w:rPr>
          <w:rFonts w:ascii="GR Times New Roman" w:hAnsi="GR Times New Roman" w:cs="GR Times New Roman"/>
          <w:lang w:val="el-GR"/>
        </w:rPr>
        <w:t>Τέχνη</w:t>
      </w:r>
      <w:r>
        <w:rPr>
          <w:rFonts w:ascii="GR Times New Roman" w:hAnsi="GR Times New Roman" w:cs="GR Times New Roman"/>
          <w:lang w:val="en-GB"/>
        </w:rPr>
        <w:t xml:space="preserve"> </w:t>
      </w:r>
      <w:r>
        <w:rPr>
          <w:rFonts w:ascii="GR Times New Roman" w:hAnsi="GR Times New Roman" w:cs="GR Times New Roman"/>
          <w:lang w:val="el-GR"/>
        </w:rPr>
        <w:t>τοῦ</w:t>
      </w:r>
      <w:r>
        <w:rPr>
          <w:rFonts w:ascii="GR Times New Roman" w:hAnsi="GR Times New Roman" w:cs="GR Times New Roman"/>
          <w:lang w:val="en-GB"/>
        </w:rPr>
        <w:t xml:space="preserve"> </w:t>
      </w:r>
      <w:r>
        <w:rPr>
          <w:rFonts w:ascii="GR Times New Roman" w:hAnsi="GR Times New Roman" w:cs="GR Times New Roman"/>
          <w:lang w:val="el-GR"/>
        </w:rPr>
        <w:t>πολιτικοῦ</w:t>
      </w:r>
      <w:r>
        <w:rPr>
          <w:rFonts w:ascii="GR Times New Roman" w:hAnsi="GR Times New Roman" w:cs="GR Times New Roman"/>
          <w:lang w:val="en-GB"/>
        </w:rPr>
        <w:t xml:space="preserve"> </w:t>
      </w:r>
      <w:r>
        <w:rPr>
          <w:rFonts w:ascii="GR Times New Roman" w:hAnsi="GR Times New Roman" w:cs="GR Times New Roman"/>
          <w:lang w:val="el-GR"/>
        </w:rPr>
        <w:t>λόγου</w:t>
      </w:r>
      <w:r>
        <w:rPr>
          <w:lang w:val="en-GB"/>
        </w:rPr>
        <w:t xml:space="preserve">), generally known as </w:t>
      </w:r>
      <w:r>
        <w:rPr>
          <w:i/>
          <w:lang w:val="en-GB"/>
        </w:rPr>
        <w:t>Anonymous Seguerianus</w:t>
      </w:r>
      <w:r w:rsidR="00E740AF">
        <w:rPr>
          <w:lang w:val="en-GB"/>
        </w:rPr>
        <w:t>,</w:t>
      </w:r>
      <w:r>
        <w:rPr>
          <w:rStyle w:val="FootnoteCharacters"/>
        </w:rPr>
        <w:footnoteReference w:id="27"/>
      </w:r>
      <w:r>
        <w:rPr>
          <w:lang w:val="en-GB"/>
        </w:rPr>
        <w:t xml:space="preserve"> which </w:t>
      </w:r>
      <w:r w:rsidR="00CE2040">
        <w:rPr>
          <w:lang w:val="en-GB"/>
        </w:rPr>
        <w:t xml:space="preserve">was </w:t>
      </w:r>
      <w:r>
        <w:rPr>
          <w:lang w:val="en-GB"/>
        </w:rPr>
        <w:t>probably a summary made by a student collecting the opinions of several authors</w:t>
      </w:r>
      <w:r w:rsidR="00E740AF">
        <w:rPr>
          <w:lang w:val="en-GB"/>
        </w:rPr>
        <w:t>.</w:t>
      </w:r>
      <w:r>
        <w:rPr>
          <w:rStyle w:val="FootnoteCharacters"/>
        </w:rPr>
        <w:footnoteReference w:id="28"/>
      </w:r>
      <w:r>
        <w:rPr>
          <w:lang w:val="en-GB"/>
        </w:rPr>
        <w:t xml:space="preserve"> The treatise has been dated toward</w:t>
      </w:r>
      <w:r w:rsidR="00CE2040">
        <w:rPr>
          <w:lang w:val="en-GB"/>
        </w:rPr>
        <w:t>s</w:t>
      </w:r>
      <w:r>
        <w:rPr>
          <w:lang w:val="en-GB"/>
        </w:rPr>
        <w:t xml:space="preserve"> the end of the 2</w:t>
      </w:r>
      <w:r>
        <w:rPr>
          <w:vertAlign w:val="superscript"/>
          <w:lang w:val="en-GB"/>
        </w:rPr>
        <w:t>nd</w:t>
      </w:r>
      <w:r>
        <w:rPr>
          <w:lang w:val="en-GB"/>
        </w:rPr>
        <w:t xml:space="preserve"> and the beginning of the 3</w:t>
      </w:r>
      <w:r>
        <w:rPr>
          <w:vertAlign w:val="superscript"/>
          <w:lang w:val="en-GB"/>
        </w:rPr>
        <w:t>rd</w:t>
      </w:r>
      <w:r>
        <w:rPr>
          <w:lang w:val="en-GB"/>
        </w:rPr>
        <w:t xml:space="preserve"> century A</w:t>
      </w:r>
      <w:r w:rsidR="00CE1D71">
        <w:rPr>
          <w:lang w:val="en-GB"/>
        </w:rPr>
        <w:t>D</w:t>
      </w:r>
      <w:r>
        <w:rPr>
          <w:rStyle w:val="FootnoteCharacters"/>
        </w:rPr>
        <w:footnoteReference w:id="29"/>
      </w:r>
      <w:r>
        <w:rPr>
          <w:lang w:val="en-GB"/>
        </w:rPr>
        <w:t xml:space="preserve"> and is structured around the four parts of speech: prooimion, narrative, proofs and epilogue.</w:t>
      </w:r>
    </w:p>
    <w:p w:rsidR="00050E3E" w:rsidRPr="00E21D90" w:rsidRDefault="00050E3E">
      <w:pPr>
        <w:spacing w:line="360" w:lineRule="auto"/>
        <w:jc w:val="both"/>
        <w:rPr>
          <w:lang w:val="en-GB"/>
        </w:rPr>
      </w:pPr>
      <w:r>
        <w:rPr>
          <w:lang w:val="en-GB"/>
        </w:rPr>
        <w:tab/>
        <w:t xml:space="preserve">Following Aristotle’s trail, the </w:t>
      </w:r>
      <w:r>
        <w:rPr>
          <w:i/>
          <w:lang w:val="en-GB"/>
        </w:rPr>
        <w:t>Anonymous Seguerianus</w:t>
      </w:r>
      <w:r>
        <w:rPr>
          <w:lang w:val="en-GB"/>
        </w:rPr>
        <w:t xml:space="preserve"> differentiates between artistic and non-artistic proofs (§ 145). And within the artistic proofs, those derived from the art, it distinguishes two species: </w:t>
      </w:r>
      <w:r>
        <w:rPr>
          <w:i/>
          <w:lang w:val="en-GB"/>
        </w:rPr>
        <w:t>paradeigma</w:t>
      </w:r>
      <w:r>
        <w:rPr>
          <w:lang w:val="en-GB"/>
        </w:rPr>
        <w:t xml:space="preserve"> and enthymeme (§ 146). But the </w:t>
      </w:r>
      <w:r>
        <w:rPr>
          <w:i/>
          <w:lang w:val="en-GB"/>
        </w:rPr>
        <w:t>Anonymous Seguerianus</w:t>
      </w:r>
      <w:r>
        <w:rPr>
          <w:lang w:val="en-GB"/>
        </w:rPr>
        <w:t xml:space="preserve"> awards this division to Alexander and, hereafter, it offers the division of Neocles (§ 147), according to which the two species are those which derive from </w:t>
      </w:r>
      <w:r>
        <w:rPr>
          <w:i/>
          <w:lang w:val="en-GB"/>
        </w:rPr>
        <w:t>pathos</w:t>
      </w:r>
      <w:r>
        <w:rPr>
          <w:lang w:val="en-GB"/>
        </w:rPr>
        <w:t xml:space="preserve"> and those which derive from the evidence or </w:t>
      </w:r>
      <w:r>
        <w:rPr>
          <w:i/>
          <w:lang w:val="en-GB"/>
        </w:rPr>
        <w:t>pragma</w:t>
      </w:r>
      <w:r>
        <w:rPr>
          <w:lang w:val="en-GB"/>
        </w:rPr>
        <w:t xml:space="preserve"> (note that the </w:t>
      </w:r>
      <w:r>
        <w:rPr>
          <w:i/>
          <w:lang w:val="en-GB"/>
        </w:rPr>
        <w:t>ethos</w:t>
      </w:r>
      <w:r>
        <w:rPr>
          <w:lang w:val="en-GB"/>
        </w:rPr>
        <w:t xml:space="preserve"> mentioned by Aristotle is left out). These last ones are developed through the probability, the signs and the </w:t>
      </w:r>
      <w:r>
        <w:rPr>
          <w:i/>
          <w:lang w:val="en-GB"/>
        </w:rPr>
        <w:t>paradeigma</w:t>
      </w:r>
      <w:r>
        <w:rPr>
          <w:lang w:val="en-GB"/>
        </w:rPr>
        <w:t xml:space="preserve"> (§ 149)</w:t>
      </w:r>
      <w:r w:rsidR="00E740AF">
        <w:rPr>
          <w:lang w:val="en-GB"/>
        </w:rPr>
        <w:t>.</w:t>
      </w:r>
      <w:r>
        <w:rPr>
          <w:rStyle w:val="FootnoteCharacters"/>
        </w:rPr>
        <w:footnoteReference w:id="30"/>
      </w:r>
      <w:r>
        <w:rPr>
          <w:lang w:val="en-GB"/>
        </w:rPr>
        <w:t xml:space="preserve"> In these two classifications the two views of Aristotle are reproduced, that is, the </w:t>
      </w:r>
      <w:r>
        <w:rPr>
          <w:i/>
          <w:lang w:val="en-GB"/>
        </w:rPr>
        <w:t>paradeigma</w:t>
      </w:r>
      <w:r>
        <w:rPr>
          <w:lang w:val="en-GB"/>
        </w:rPr>
        <w:t xml:space="preserve"> can be a type of artistic proof, at the same level as the enthymeme, and also a source of </w:t>
      </w:r>
      <w:r w:rsidR="009104DE">
        <w:rPr>
          <w:lang w:val="en-GB"/>
        </w:rPr>
        <w:t xml:space="preserve">and consequently subordinated to </w:t>
      </w:r>
      <w:r>
        <w:rPr>
          <w:lang w:val="en-GB"/>
        </w:rPr>
        <w:t xml:space="preserve">the enthymeme. From this point on, the handbook explains each of these elements: probability (§ 149-150), </w:t>
      </w:r>
      <w:r>
        <w:rPr>
          <w:i/>
          <w:lang w:val="en-GB"/>
        </w:rPr>
        <w:t>tekmerion</w:t>
      </w:r>
      <w:r>
        <w:rPr>
          <w:lang w:val="en-GB"/>
        </w:rPr>
        <w:t xml:space="preserve"> and </w:t>
      </w:r>
      <w:r>
        <w:rPr>
          <w:i/>
          <w:lang w:val="en-GB"/>
        </w:rPr>
        <w:t>semeion</w:t>
      </w:r>
      <w:r>
        <w:rPr>
          <w:lang w:val="en-GB"/>
        </w:rPr>
        <w:t xml:space="preserve"> (§ 151-153) and </w:t>
      </w:r>
      <w:r>
        <w:rPr>
          <w:i/>
          <w:lang w:val="en-GB"/>
        </w:rPr>
        <w:t>paradeigma</w:t>
      </w:r>
      <w:r>
        <w:rPr>
          <w:lang w:val="en-GB"/>
        </w:rPr>
        <w:t xml:space="preserve"> (§ 154-156). And after the </w:t>
      </w:r>
      <w:r>
        <w:rPr>
          <w:i/>
          <w:lang w:val="en-GB"/>
        </w:rPr>
        <w:t>paradeigma</w:t>
      </w:r>
      <w:r>
        <w:rPr>
          <w:lang w:val="en-GB"/>
        </w:rPr>
        <w:t xml:space="preserve">, the handbook explains the enthymeme (§ 157 ss.), so that the positioning of </w:t>
      </w:r>
      <w:r>
        <w:rPr>
          <w:i/>
          <w:lang w:val="en-GB"/>
        </w:rPr>
        <w:t>paradeigma</w:t>
      </w:r>
      <w:r>
        <w:rPr>
          <w:lang w:val="en-GB"/>
        </w:rPr>
        <w:t xml:space="preserve"> is strategic because it can </w:t>
      </w:r>
      <w:r w:rsidR="007574BE">
        <w:rPr>
          <w:lang w:val="en-GB"/>
        </w:rPr>
        <w:t xml:space="preserve">make </w:t>
      </w:r>
      <w:r>
        <w:rPr>
          <w:lang w:val="en-GB"/>
        </w:rPr>
        <w:t xml:space="preserve">a pair with the enthymeme, whose explanation follows, or be one of the </w:t>
      </w:r>
      <w:r w:rsidR="007574BE">
        <w:rPr>
          <w:lang w:val="en-GB"/>
        </w:rPr>
        <w:t xml:space="preserve">methods </w:t>
      </w:r>
      <w:r>
        <w:rPr>
          <w:lang w:val="en-GB"/>
        </w:rPr>
        <w:t xml:space="preserve">of reasoning from the </w:t>
      </w:r>
      <w:r>
        <w:rPr>
          <w:i/>
          <w:lang w:val="en-GB"/>
        </w:rPr>
        <w:t>pragma</w:t>
      </w:r>
      <w:r>
        <w:rPr>
          <w:lang w:val="en-GB"/>
        </w:rPr>
        <w:t>, like the probability and the signs, whose explanation precedes.</w:t>
      </w:r>
    </w:p>
    <w:p w:rsidR="00050E3E" w:rsidRDefault="00050E3E">
      <w:pPr>
        <w:spacing w:line="360" w:lineRule="auto"/>
        <w:jc w:val="both"/>
        <w:rPr>
          <w:lang w:val="en-GB"/>
        </w:rPr>
      </w:pPr>
      <w:r w:rsidRPr="00E21D90">
        <w:rPr>
          <w:lang w:val="en-GB"/>
        </w:rPr>
        <w:tab/>
      </w:r>
      <w:r>
        <w:rPr>
          <w:lang w:val="en-GB"/>
        </w:rPr>
        <w:t xml:space="preserve">Regarding the definition of the </w:t>
      </w:r>
      <w:r>
        <w:rPr>
          <w:i/>
          <w:lang w:val="en-GB"/>
        </w:rPr>
        <w:t>paradeigma</w:t>
      </w:r>
      <w:r>
        <w:rPr>
          <w:lang w:val="en-GB"/>
        </w:rPr>
        <w:t xml:space="preserve">, the </w:t>
      </w:r>
      <w:r>
        <w:rPr>
          <w:i/>
          <w:lang w:val="en-GB"/>
        </w:rPr>
        <w:t>Anonymous Seguerianus</w:t>
      </w:r>
      <w:r>
        <w:rPr>
          <w:lang w:val="en-GB"/>
        </w:rPr>
        <w:t xml:space="preserve"> collects the definitions </w:t>
      </w:r>
      <w:r w:rsidR="007574BE">
        <w:rPr>
          <w:lang w:val="en-GB"/>
        </w:rPr>
        <w:t xml:space="preserve">of </w:t>
      </w:r>
      <w:r>
        <w:rPr>
          <w:lang w:val="en-GB"/>
        </w:rPr>
        <w:t>three rhetors: Neocles, Alexander and Zeno</w:t>
      </w:r>
      <w:r w:rsidR="00E740AF">
        <w:rPr>
          <w:lang w:val="en-GB"/>
        </w:rPr>
        <w:t>.</w:t>
      </w:r>
      <w:r>
        <w:rPr>
          <w:rStyle w:val="FootnoteCharacters"/>
        </w:rPr>
        <w:footnoteReference w:id="31"/>
      </w:r>
      <w:r>
        <w:rPr>
          <w:lang w:val="en-GB"/>
        </w:rPr>
        <w:t xml:space="preserve"> According to Neocles (§ 154), the </w:t>
      </w:r>
      <w:r>
        <w:rPr>
          <w:i/>
          <w:lang w:val="en-GB"/>
        </w:rPr>
        <w:t>paradeigma</w:t>
      </w:r>
      <w:r>
        <w:rPr>
          <w:lang w:val="en-GB"/>
        </w:rPr>
        <w:t xml:space="preserve"> is “a likeness and similarity and probability to a fact under question, from which, as a starting point, one would think it right to regard likenesses in a like way and applicable to the question under discussion” (</w:t>
      </w:r>
      <w:r>
        <w:rPr>
          <w:rFonts w:ascii="GR Times New Roman" w:hAnsi="GR Times New Roman" w:cs="GR Times New Roman"/>
          <w:lang w:val="el-GR"/>
        </w:rPr>
        <w:t>ἐμφερὲς</w:t>
      </w:r>
      <w:r>
        <w:rPr>
          <w:rFonts w:ascii="GR Times New Roman" w:hAnsi="GR Times New Roman" w:cs="GR Times New Roman"/>
          <w:lang w:val="en-GB"/>
        </w:rPr>
        <w:t xml:space="preserve"> </w:t>
      </w:r>
      <w:r>
        <w:rPr>
          <w:rFonts w:ascii="GR Times New Roman" w:hAnsi="GR Times New Roman" w:cs="GR Times New Roman"/>
          <w:lang w:val="el-GR"/>
        </w:rPr>
        <w:t>καὶ</w:t>
      </w:r>
      <w:r>
        <w:rPr>
          <w:rFonts w:ascii="GR Times New Roman" w:hAnsi="GR Times New Roman" w:cs="GR Times New Roman"/>
          <w:lang w:val="en-GB"/>
        </w:rPr>
        <w:t xml:space="preserve"> </w:t>
      </w:r>
      <w:r>
        <w:rPr>
          <w:rFonts w:ascii="GR Times New Roman" w:hAnsi="GR Times New Roman" w:cs="GR Times New Roman"/>
          <w:lang w:val="el-GR"/>
        </w:rPr>
        <w:t>ὅμοιον</w:t>
      </w:r>
      <w:r>
        <w:rPr>
          <w:rFonts w:ascii="GR Times New Roman" w:hAnsi="GR Times New Roman" w:cs="GR Times New Roman"/>
          <w:lang w:val="en-GB"/>
        </w:rPr>
        <w:t xml:space="preserve"> </w:t>
      </w:r>
      <w:r>
        <w:rPr>
          <w:rFonts w:ascii="GR Times New Roman" w:hAnsi="GR Times New Roman" w:cs="GR Times New Roman"/>
          <w:lang w:val="el-GR"/>
        </w:rPr>
        <w:t>καὶ</w:t>
      </w:r>
      <w:r>
        <w:rPr>
          <w:rFonts w:ascii="GR Times New Roman" w:hAnsi="GR Times New Roman" w:cs="GR Times New Roman"/>
          <w:lang w:val="en-GB"/>
        </w:rPr>
        <w:t xml:space="preserve"> </w:t>
      </w:r>
      <w:r>
        <w:rPr>
          <w:rFonts w:ascii="GR Times New Roman" w:hAnsi="GR Times New Roman" w:cs="GR Times New Roman"/>
          <w:lang w:val="el-GR"/>
        </w:rPr>
        <w:t>εἰκὸς</w:t>
      </w:r>
      <w:r>
        <w:rPr>
          <w:rFonts w:ascii="GR Times New Roman" w:hAnsi="GR Times New Roman" w:cs="GR Times New Roman"/>
          <w:lang w:val="en-GB"/>
        </w:rPr>
        <w:t xml:space="preserve"> </w:t>
      </w:r>
      <w:r>
        <w:rPr>
          <w:rFonts w:ascii="GR Times New Roman" w:hAnsi="GR Times New Roman" w:cs="GR Times New Roman"/>
          <w:lang w:val="el-GR"/>
        </w:rPr>
        <w:t>τῷ</w:t>
      </w:r>
      <w:r>
        <w:rPr>
          <w:rFonts w:ascii="GR Times New Roman" w:hAnsi="GR Times New Roman" w:cs="GR Times New Roman"/>
          <w:lang w:val="en-GB"/>
        </w:rPr>
        <w:t xml:space="preserve"> </w:t>
      </w:r>
      <w:r>
        <w:rPr>
          <w:rFonts w:ascii="GR Times New Roman" w:hAnsi="GR Times New Roman" w:cs="GR Times New Roman"/>
          <w:lang w:val="el-GR"/>
        </w:rPr>
        <w:t>ζητουμένῳ</w:t>
      </w:r>
      <w:r>
        <w:rPr>
          <w:rFonts w:ascii="GR Times New Roman" w:hAnsi="GR Times New Roman" w:cs="GR Times New Roman"/>
          <w:lang w:val="en-GB"/>
        </w:rPr>
        <w:t xml:space="preserve"> </w:t>
      </w:r>
      <w:r>
        <w:rPr>
          <w:rFonts w:ascii="GR Times New Roman" w:hAnsi="GR Times New Roman" w:cs="GR Times New Roman"/>
          <w:lang w:val="el-GR"/>
        </w:rPr>
        <w:t>πράγματι</w:t>
      </w:r>
      <w:r>
        <w:rPr>
          <w:rFonts w:ascii="GR Times New Roman" w:hAnsi="GR Times New Roman" w:cs="GR Times New Roman"/>
          <w:lang w:val="en-GB"/>
        </w:rPr>
        <w:t xml:space="preserve">, </w:t>
      </w:r>
      <w:r>
        <w:rPr>
          <w:rFonts w:ascii="GR Times New Roman" w:hAnsi="GR Times New Roman" w:cs="GR Times New Roman"/>
          <w:lang w:val="el-GR"/>
        </w:rPr>
        <w:t>ἀφ</w:t>
      </w:r>
      <w:r>
        <w:rPr>
          <w:rFonts w:ascii="GR Times New Roman" w:hAnsi="GR Times New Roman" w:cs="GR Times New Roman"/>
          <w:lang w:val="en-GB"/>
        </w:rPr>
        <w:t>’ οὗ ὁρμώμενος ἄν τις ἀξιώσαι ὁμοίως τὰ ὅμοια φρονεῖν καὶ ἐπί τοῦ ζητουμένου</w:t>
      </w:r>
      <w:r>
        <w:rPr>
          <w:lang w:val="en-GB"/>
        </w:rPr>
        <w:t>)</w:t>
      </w:r>
      <w:r w:rsidR="00E740AF">
        <w:rPr>
          <w:lang w:val="en-GB"/>
        </w:rPr>
        <w:t>.</w:t>
      </w:r>
      <w:r>
        <w:rPr>
          <w:rStyle w:val="FootnoteCharacters"/>
        </w:rPr>
        <w:footnoteReference w:id="32"/>
      </w:r>
      <w:r>
        <w:rPr>
          <w:lang w:val="en-GB"/>
        </w:rPr>
        <w:t xml:space="preserve"> For Alexander (§ 155) “Paradeigm is language drawing from the particular either to (another) particular or the universal, or from like to like” (</w:t>
      </w:r>
      <w:r>
        <w:rPr>
          <w:rFonts w:ascii="GR Times New Roman" w:hAnsi="GR Times New Roman" w:cs="GR Times New Roman"/>
          <w:lang w:val="el-GR"/>
        </w:rPr>
        <w:t>παράδειγμά</w:t>
      </w:r>
      <w:r>
        <w:rPr>
          <w:rFonts w:ascii="GR Times New Roman" w:hAnsi="GR Times New Roman" w:cs="GR Times New Roman"/>
          <w:lang w:val="en-GB"/>
        </w:rPr>
        <w:t xml:space="preserve"> </w:t>
      </w:r>
      <w:r>
        <w:rPr>
          <w:rFonts w:ascii="GR Times New Roman" w:hAnsi="GR Times New Roman" w:cs="GR Times New Roman"/>
          <w:lang w:val="el-GR"/>
        </w:rPr>
        <w:t>ἐστι</w:t>
      </w:r>
      <w:r>
        <w:rPr>
          <w:rFonts w:ascii="GR Times New Roman" w:hAnsi="GR Times New Roman" w:cs="GR Times New Roman"/>
          <w:lang w:val="en-GB"/>
        </w:rPr>
        <w:t xml:space="preserve"> </w:t>
      </w:r>
      <w:r>
        <w:rPr>
          <w:rFonts w:ascii="GR Times New Roman" w:hAnsi="GR Times New Roman" w:cs="GR Times New Roman"/>
          <w:lang w:val="el-GR"/>
        </w:rPr>
        <w:t>λόγος</w:t>
      </w:r>
      <w:r>
        <w:rPr>
          <w:rFonts w:ascii="GR Times New Roman" w:hAnsi="GR Times New Roman" w:cs="GR Times New Roman"/>
          <w:lang w:val="en-GB"/>
        </w:rPr>
        <w:t xml:space="preserve"> </w:t>
      </w:r>
      <w:r>
        <w:rPr>
          <w:rFonts w:ascii="GR Times New Roman" w:hAnsi="GR Times New Roman" w:cs="GR Times New Roman"/>
          <w:lang w:val="el-GR"/>
        </w:rPr>
        <w:t>ἀπὸ</w:t>
      </w:r>
      <w:r>
        <w:rPr>
          <w:rFonts w:ascii="GR Times New Roman" w:hAnsi="GR Times New Roman" w:cs="GR Times New Roman"/>
          <w:lang w:val="en-GB"/>
        </w:rPr>
        <w:t xml:space="preserve"> </w:t>
      </w:r>
      <w:r>
        <w:rPr>
          <w:rFonts w:ascii="GR Times New Roman" w:hAnsi="GR Times New Roman" w:cs="GR Times New Roman"/>
          <w:lang w:val="el-GR"/>
        </w:rPr>
        <w:t>τῶν</w:t>
      </w:r>
      <w:r>
        <w:rPr>
          <w:rFonts w:ascii="GR Times New Roman" w:hAnsi="GR Times New Roman" w:cs="GR Times New Roman"/>
          <w:lang w:val="en-GB"/>
        </w:rPr>
        <w:t xml:space="preserve"> </w:t>
      </w:r>
      <w:r>
        <w:rPr>
          <w:rFonts w:ascii="GR Times New Roman" w:hAnsi="GR Times New Roman" w:cs="GR Times New Roman"/>
          <w:lang w:val="el-GR"/>
        </w:rPr>
        <w:t>κατὰ</w:t>
      </w:r>
      <w:r>
        <w:rPr>
          <w:rFonts w:ascii="GR Times New Roman" w:hAnsi="GR Times New Roman" w:cs="GR Times New Roman"/>
          <w:lang w:val="en-GB"/>
        </w:rPr>
        <w:t xml:space="preserve"> </w:t>
      </w:r>
      <w:r>
        <w:rPr>
          <w:rFonts w:ascii="GR Times New Roman" w:hAnsi="GR Times New Roman" w:cs="GR Times New Roman"/>
          <w:lang w:val="el-GR"/>
        </w:rPr>
        <w:t>μέρος</w:t>
      </w:r>
      <w:r>
        <w:rPr>
          <w:rFonts w:ascii="GR Times New Roman" w:hAnsi="GR Times New Roman" w:cs="GR Times New Roman"/>
          <w:lang w:val="en-GB"/>
        </w:rPr>
        <w:t xml:space="preserve"> </w:t>
      </w:r>
      <w:r>
        <w:rPr>
          <w:rFonts w:ascii="GR Times New Roman" w:hAnsi="GR Times New Roman" w:cs="GR Times New Roman"/>
          <w:lang w:val="el-GR"/>
        </w:rPr>
        <w:t>ἤτοι</w:t>
      </w:r>
      <w:r>
        <w:rPr>
          <w:rFonts w:ascii="GR Times New Roman" w:hAnsi="GR Times New Roman" w:cs="GR Times New Roman"/>
          <w:lang w:val="en-GB"/>
        </w:rPr>
        <w:t xml:space="preserve"> </w:t>
      </w:r>
      <w:r>
        <w:rPr>
          <w:rFonts w:ascii="GR Times New Roman" w:hAnsi="GR Times New Roman" w:cs="GR Times New Roman"/>
          <w:lang w:val="el-GR"/>
        </w:rPr>
        <w:t>ἐπὶ</w:t>
      </w:r>
      <w:r>
        <w:rPr>
          <w:rFonts w:ascii="GR Times New Roman" w:hAnsi="GR Times New Roman" w:cs="GR Times New Roman"/>
          <w:lang w:val="en-GB"/>
        </w:rPr>
        <w:t xml:space="preserve"> </w:t>
      </w:r>
      <w:r>
        <w:rPr>
          <w:rFonts w:ascii="GR Times New Roman" w:hAnsi="GR Times New Roman" w:cs="GR Times New Roman"/>
          <w:lang w:val="el-GR"/>
        </w:rPr>
        <w:t>τὸ</w:t>
      </w:r>
      <w:r>
        <w:rPr>
          <w:rFonts w:ascii="GR Times New Roman" w:hAnsi="GR Times New Roman" w:cs="GR Times New Roman"/>
          <w:lang w:val="en-GB"/>
        </w:rPr>
        <w:t xml:space="preserve"> </w:t>
      </w:r>
      <w:r>
        <w:rPr>
          <w:rFonts w:ascii="GR Times New Roman" w:hAnsi="GR Times New Roman" w:cs="GR Times New Roman"/>
          <w:lang w:val="el-GR"/>
        </w:rPr>
        <w:t>κατὰ</w:t>
      </w:r>
      <w:r>
        <w:rPr>
          <w:rFonts w:ascii="GR Times New Roman" w:hAnsi="GR Times New Roman" w:cs="GR Times New Roman"/>
          <w:lang w:val="en-GB"/>
        </w:rPr>
        <w:t xml:space="preserve"> </w:t>
      </w:r>
      <w:r>
        <w:rPr>
          <w:rFonts w:ascii="GR Times New Roman" w:hAnsi="GR Times New Roman" w:cs="GR Times New Roman"/>
          <w:lang w:val="el-GR"/>
        </w:rPr>
        <w:t>μέρος</w:t>
      </w:r>
      <w:r>
        <w:rPr>
          <w:rFonts w:ascii="GR Times New Roman" w:hAnsi="GR Times New Roman" w:cs="GR Times New Roman"/>
          <w:lang w:val="en-GB"/>
        </w:rPr>
        <w:t xml:space="preserve"> </w:t>
      </w:r>
      <w:r>
        <w:rPr>
          <w:rFonts w:ascii="GR Times New Roman" w:hAnsi="GR Times New Roman" w:cs="GR Times New Roman"/>
          <w:lang w:val="el-GR"/>
        </w:rPr>
        <w:t>ἐπάγων</w:t>
      </w:r>
      <w:r>
        <w:rPr>
          <w:rFonts w:ascii="GR Times New Roman" w:hAnsi="GR Times New Roman" w:cs="GR Times New Roman"/>
          <w:lang w:val="en-GB"/>
        </w:rPr>
        <w:t xml:space="preserve"> </w:t>
      </w:r>
      <w:r>
        <w:rPr>
          <w:rFonts w:ascii="GR Times New Roman" w:hAnsi="GR Times New Roman" w:cs="GR Times New Roman"/>
          <w:lang w:val="el-GR"/>
        </w:rPr>
        <w:t>ἢ</w:t>
      </w:r>
      <w:r>
        <w:rPr>
          <w:rFonts w:ascii="GR Times New Roman" w:hAnsi="GR Times New Roman" w:cs="GR Times New Roman"/>
          <w:lang w:val="en-GB"/>
        </w:rPr>
        <w:t xml:space="preserve"> </w:t>
      </w:r>
      <w:r>
        <w:rPr>
          <w:rFonts w:ascii="GR Times New Roman" w:hAnsi="GR Times New Roman" w:cs="GR Times New Roman"/>
          <w:lang w:val="el-GR"/>
        </w:rPr>
        <w:t>ἐπὶ</w:t>
      </w:r>
      <w:r>
        <w:rPr>
          <w:rFonts w:ascii="GR Times New Roman" w:hAnsi="GR Times New Roman" w:cs="GR Times New Roman"/>
          <w:lang w:val="en-GB"/>
        </w:rPr>
        <w:t xml:space="preserve"> </w:t>
      </w:r>
      <w:r>
        <w:rPr>
          <w:rFonts w:ascii="GR Times New Roman" w:hAnsi="GR Times New Roman" w:cs="GR Times New Roman"/>
          <w:lang w:val="el-GR"/>
        </w:rPr>
        <w:t>τὸ</w:t>
      </w:r>
      <w:r>
        <w:rPr>
          <w:rFonts w:ascii="GR Times New Roman" w:hAnsi="GR Times New Roman" w:cs="GR Times New Roman"/>
          <w:lang w:val="en-GB"/>
        </w:rPr>
        <w:t xml:space="preserve"> </w:t>
      </w:r>
      <w:r>
        <w:rPr>
          <w:rFonts w:ascii="GR Times New Roman" w:hAnsi="GR Times New Roman" w:cs="GR Times New Roman"/>
          <w:lang w:val="el-GR"/>
        </w:rPr>
        <w:t>καθόλου</w:t>
      </w:r>
      <w:r>
        <w:rPr>
          <w:rFonts w:ascii="GR Times New Roman" w:hAnsi="GR Times New Roman" w:cs="GR Times New Roman"/>
          <w:lang w:val="en-GB"/>
        </w:rPr>
        <w:t xml:space="preserve"> </w:t>
      </w:r>
      <w:r>
        <w:rPr>
          <w:rFonts w:ascii="GR Times New Roman" w:hAnsi="GR Times New Roman" w:cs="GR Times New Roman"/>
          <w:lang w:val="el-GR"/>
        </w:rPr>
        <w:t>ἢ</w:t>
      </w:r>
      <w:r>
        <w:rPr>
          <w:rFonts w:ascii="GR Times New Roman" w:hAnsi="GR Times New Roman" w:cs="GR Times New Roman"/>
          <w:lang w:val="en-GB"/>
        </w:rPr>
        <w:t xml:space="preserve"> </w:t>
      </w:r>
      <w:r>
        <w:rPr>
          <w:rFonts w:ascii="GR Times New Roman" w:hAnsi="GR Times New Roman" w:cs="GR Times New Roman"/>
          <w:lang w:val="el-GR"/>
        </w:rPr>
        <w:t>ἀπὸ</w:t>
      </w:r>
      <w:r>
        <w:rPr>
          <w:rFonts w:ascii="GR Times New Roman" w:hAnsi="GR Times New Roman" w:cs="GR Times New Roman"/>
          <w:lang w:val="en-GB"/>
        </w:rPr>
        <w:t xml:space="preserve"> </w:t>
      </w:r>
      <w:r>
        <w:rPr>
          <w:rFonts w:ascii="GR Times New Roman" w:hAnsi="GR Times New Roman" w:cs="GR Times New Roman"/>
          <w:lang w:val="el-GR"/>
        </w:rPr>
        <w:t>τοῦ</w:t>
      </w:r>
      <w:r>
        <w:rPr>
          <w:rFonts w:ascii="GR Times New Roman" w:hAnsi="GR Times New Roman" w:cs="GR Times New Roman"/>
          <w:lang w:val="en-GB"/>
        </w:rPr>
        <w:t xml:space="preserve"> </w:t>
      </w:r>
      <w:r>
        <w:rPr>
          <w:rFonts w:ascii="GR Times New Roman" w:hAnsi="GR Times New Roman" w:cs="GR Times New Roman"/>
        </w:rPr>
        <w:t>ὁμοίου</w:t>
      </w:r>
      <w:r>
        <w:rPr>
          <w:rFonts w:ascii="GR Times New Roman" w:hAnsi="GR Times New Roman" w:cs="GR Times New Roman"/>
          <w:lang w:val="en-GB"/>
        </w:rPr>
        <w:t xml:space="preserve"> </w:t>
      </w:r>
      <w:r>
        <w:rPr>
          <w:rFonts w:ascii="GR Times New Roman" w:hAnsi="GR Times New Roman" w:cs="GR Times New Roman"/>
        </w:rPr>
        <w:t>ἐπὶ</w:t>
      </w:r>
      <w:r>
        <w:rPr>
          <w:rFonts w:ascii="GR Times New Roman" w:hAnsi="GR Times New Roman" w:cs="GR Times New Roman"/>
          <w:lang w:val="en-GB"/>
        </w:rPr>
        <w:t xml:space="preserve"> </w:t>
      </w:r>
      <w:r>
        <w:rPr>
          <w:rFonts w:ascii="GR Times New Roman" w:hAnsi="GR Times New Roman" w:cs="GR Times New Roman"/>
        </w:rPr>
        <w:t>τὸ</w:t>
      </w:r>
      <w:r>
        <w:rPr>
          <w:rFonts w:ascii="GR Times New Roman" w:hAnsi="GR Times New Roman" w:cs="GR Times New Roman"/>
          <w:lang w:val="en-GB"/>
        </w:rPr>
        <w:t xml:space="preserve"> </w:t>
      </w:r>
      <w:r>
        <w:rPr>
          <w:rFonts w:ascii="GR Times New Roman" w:hAnsi="GR Times New Roman" w:cs="GR Times New Roman"/>
        </w:rPr>
        <w:t>ὅμοιον</w:t>
      </w:r>
      <w:r>
        <w:rPr>
          <w:lang w:val="en-GB"/>
        </w:rPr>
        <w:t>). And, finally, according to Zeno (§ 156), “paradeigm is a reminder of something that has happened for comparison with what is now under discussion” (</w:t>
      </w:r>
      <w:r>
        <w:rPr>
          <w:rFonts w:ascii="GR Times New Roman" w:hAnsi="GR Times New Roman" w:cs="GR Times New Roman"/>
          <w:lang w:val="el-GR"/>
        </w:rPr>
        <w:t>παράδειγμά</w:t>
      </w:r>
      <w:r>
        <w:rPr>
          <w:rFonts w:ascii="GR Times New Roman" w:hAnsi="GR Times New Roman" w:cs="GR Times New Roman"/>
          <w:lang w:val="en-GB"/>
        </w:rPr>
        <w:t xml:space="preserve"> </w:t>
      </w:r>
      <w:r>
        <w:rPr>
          <w:rFonts w:ascii="GR Times New Roman" w:hAnsi="GR Times New Roman" w:cs="GR Times New Roman"/>
          <w:lang w:val="el-GR"/>
        </w:rPr>
        <w:t>ἐστι</w:t>
      </w:r>
      <w:r>
        <w:rPr>
          <w:rFonts w:ascii="GR Times New Roman" w:hAnsi="GR Times New Roman" w:cs="GR Times New Roman"/>
          <w:lang w:val="en-GB"/>
        </w:rPr>
        <w:t xml:space="preserve"> </w:t>
      </w:r>
      <w:r>
        <w:rPr>
          <w:rFonts w:ascii="GR Times New Roman" w:hAnsi="GR Times New Roman" w:cs="GR Times New Roman"/>
          <w:lang w:val="el-GR"/>
        </w:rPr>
        <w:t>γενομένου</w:t>
      </w:r>
      <w:r>
        <w:rPr>
          <w:rFonts w:ascii="GR Times New Roman" w:hAnsi="GR Times New Roman" w:cs="GR Times New Roman"/>
          <w:lang w:val="en-GB"/>
        </w:rPr>
        <w:t xml:space="preserve"> </w:t>
      </w:r>
      <w:r>
        <w:rPr>
          <w:rFonts w:ascii="GR Times New Roman" w:hAnsi="GR Times New Roman" w:cs="GR Times New Roman"/>
          <w:lang w:val="el-GR"/>
        </w:rPr>
        <w:t>πράγματος</w:t>
      </w:r>
      <w:r>
        <w:rPr>
          <w:rFonts w:ascii="GR Times New Roman" w:hAnsi="GR Times New Roman" w:cs="GR Times New Roman"/>
          <w:lang w:val="en-GB"/>
        </w:rPr>
        <w:t xml:space="preserve"> ἀπομνημόνευσις εἰς ὁμοίωσιν τοῦ νῦν ζητουμένου</w:t>
      </w:r>
      <w:r>
        <w:rPr>
          <w:lang w:val="en-GB"/>
        </w:rPr>
        <w:t>).</w:t>
      </w:r>
    </w:p>
    <w:p w:rsidR="00050E3E" w:rsidRPr="00AE758C" w:rsidRDefault="00050E3E">
      <w:pPr>
        <w:spacing w:line="360" w:lineRule="auto"/>
        <w:jc w:val="both"/>
        <w:rPr>
          <w:lang w:val="en-GB"/>
        </w:rPr>
      </w:pPr>
      <w:r>
        <w:rPr>
          <w:lang w:val="en-GB"/>
        </w:rPr>
        <w:tab/>
        <w:t xml:space="preserve">Common to the three definitions is the consideration that the </w:t>
      </w:r>
      <w:r>
        <w:rPr>
          <w:i/>
          <w:lang w:val="en-GB"/>
        </w:rPr>
        <w:t>paradeigma</w:t>
      </w:r>
      <w:r>
        <w:rPr>
          <w:lang w:val="en-GB"/>
        </w:rPr>
        <w:t xml:space="preserve"> establishes a link between two questions (</w:t>
      </w:r>
      <w:r>
        <w:rPr>
          <w:i/>
          <w:lang w:val="en-GB"/>
        </w:rPr>
        <w:t>illustrans</w:t>
      </w:r>
      <w:r>
        <w:rPr>
          <w:lang w:val="en-GB"/>
        </w:rPr>
        <w:t xml:space="preserve"> and </w:t>
      </w:r>
      <w:r>
        <w:rPr>
          <w:i/>
          <w:lang w:val="en-GB"/>
        </w:rPr>
        <w:t>illustrandum</w:t>
      </w:r>
      <w:r>
        <w:rPr>
          <w:lang w:val="en-GB"/>
        </w:rPr>
        <w:t xml:space="preserve">) based on a relation of similarity. The one who most </w:t>
      </w:r>
      <w:r w:rsidR="007574BE">
        <w:rPr>
          <w:lang w:val="en-GB"/>
        </w:rPr>
        <w:t xml:space="preserve">emphasises </w:t>
      </w:r>
      <w:r>
        <w:rPr>
          <w:lang w:val="en-GB"/>
        </w:rPr>
        <w:t xml:space="preserve">and develops this idea is Neocles, who, besides, includes probability almost as a form of similarity, which is not strange since </w:t>
      </w:r>
      <w:r>
        <w:rPr>
          <w:i/>
          <w:lang w:val="en-GB"/>
        </w:rPr>
        <w:t>paradeigma</w:t>
      </w:r>
      <w:r>
        <w:rPr>
          <w:lang w:val="en-GB"/>
        </w:rPr>
        <w:t xml:space="preserve"> is “ein Teil des </w:t>
      </w:r>
      <w:r>
        <w:rPr>
          <w:i/>
          <w:lang w:val="en-GB"/>
        </w:rPr>
        <w:t>comparabile</w:t>
      </w:r>
      <w:r>
        <w:rPr>
          <w:lang w:val="en-GB"/>
        </w:rPr>
        <w:t xml:space="preserve">, das selbst wieder ein Teil des </w:t>
      </w:r>
      <w:r>
        <w:rPr>
          <w:i/>
          <w:lang w:val="en-GB"/>
        </w:rPr>
        <w:t>probabile</w:t>
      </w:r>
      <w:r>
        <w:rPr>
          <w:lang w:val="en-GB"/>
        </w:rPr>
        <w:t xml:space="preserve"> ist”</w:t>
      </w:r>
      <w:r w:rsidR="00E740AF">
        <w:rPr>
          <w:lang w:val="en-GB"/>
        </w:rPr>
        <w:t>.</w:t>
      </w:r>
      <w:r>
        <w:rPr>
          <w:rStyle w:val="FootnoteCharacters"/>
        </w:rPr>
        <w:footnoteReference w:id="33"/>
      </w:r>
      <w:r>
        <w:rPr>
          <w:lang w:val="en-GB"/>
        </w:rPr>
        <w:t xml:space="preserve"> Alexander emphasises the fact that example implies not only a relation of the part to the part or of the similar to the similar, as Aristotle said, but also of the part to the whole, to the universal, which is the consubstantial to the induction, but which is not clearly considered in Aristotle’s </w:t>
      </w:r>
      <w:r>
        <w:rPr>
          <w:i/>
          <w:lang w:val="en-GB"/>
        </w:rPr>
        <w:t>Rhetoric</w:t>
      </w:r>
      <w:r w:rsidR="00E740AF">
        <w:rPr>
          <w:lang w:val="en-GB"/>
        </w:rPr>
        <w:t>.</w:t>
      </w:r>
      <w:r>
        <w:rPr>
          <w:rStyle w:val="FootnoteCharacters"/>
        </w:rPr>
        <w:footnoteReference w:id="34"/>
      </w:r>
      <w:r>
        <w:rPr>
          <w:lang w:val="en-GB"/>
        </w:rPr>
        <w:t xml:space="preserve"> Finally, Zeno’s definition stresses that the content of </w:t>
      </w:r>
      <w:r>
        <w:rPr>
          <w:i/>
          <w:lang w:val="en-GB"/>
        </w:rPr>
        <w:t>paradeigma</w:t>
      </w:r>
      <w:r>
        <w:rPr>
          <w:lang w:val="en-GB"/>
        </w:rPr>
        <w:t xml:space="preserve"> is something that has happened, omitting the possibility that the </w:t>
      </w:r>
      <w:r>
        <w:rPr>
          <w:i/>
          <w:lang w:val="en-GB"/>
        </w:rPr>
        <w:t>paradeigma</w:t>
      </w:r>
      <w:r>
        <w:rPr>
          <w:lang w:val="en-GB"/>
        </w:rPr>
        <w:t xml:space="preserve"> can have a fictional content, as Aristotle claims (</w:t>
      </w:r>
      <w:r>
        <w:rPr>
          <w:i/>
          <w:lang w:val="en-GB"/>
        </w:rPr>
        <w:t>Rh</w:t>
      </w:r>
      <w:r>
        <w:rPr>
          <w:lang w:val="en-GB"/>
        </w:rPr>
        <w:t xml:space="preserve">. 2.20, 1393a28-31). So, each of these three definitions puts the emphasis on one concrete aspect of the </w:t>
      </w:r>
      <w:r>
        <w:rPr>
          <w:i/>
          <w:lang w:val="en-GB"/>
        </w:rPr>
        <w:t>paradeigma</w:t>
      </w:r>
      <w:r>
        <w:rPr>
          <w:lang w:val="en-GB"/>
        </w:rPr>
        <w:t>.</w:t>
      </w:r>
    </w:p>
    <w:p w:rsidR="00050E3E" w:rsidRDefault="00050E3E">
      <w:pPr>
        <w:spacing w:line="360" w:lineRule="auto"/>
        <w:jc w:val="both"/>
        <w:rPr>
          <w:lang w:val="en-GB"/>
        </w:rPr>
      </w:pPr>
      <w:r w:rsidRPr="00AE758C">
        <w:rPr>
          <w:lang w:val="en-GB"/>
        </w:rPr>
        <w:tab/>
      </w:r>
      <w:r>
        <w:rPr>
          <w:lang w:val="en-GB"/>
        </w:rPr>
        <w:t xml:space="preserve">In order to refute a </w:t>
      </w:r>
      <w:r>
        <w:rPr>
          <w:i/>
          <w:lang w:val="en-GB"/>
        </w:rPr>
        <w:t>paradeigma</w:t>
      </w:r>
      <w:r>
        <w:rPr>
          <w:lang w:val="en-GB"/>
        </w:rPr>
        <w:t xml:space="preserve"> classical rhetoric considers two possibilities: using a counterexample or saying that the given examples are not appropriate or similar to the </w:t>
      </w:r>
      <w:r>
        <w:rPr>
          <w:i/>
          <w:lang w:val="en-GB"/>
        </w:rPr>
        <w:t>illustrandum</w:t>
      </w:r>
      <w:r>
        <w:rPr>
          <w:lang w:val="en-GB"/>
        </w:rPr>
        <w:t xml:space="preserve"> (</w:t>
      </w:r>
      <w:r>
        <w:rPr>
          <w:i/>
          <w:lang w:val="en-GB"/>
        </w:rPr>
        <w:t>Rh.Al</w:t>
      </w:r>
      <w:r>
        <w:rPr>
          <w:lang w:val="en-GB"/>
        </w:rPr>
        <w:t xml:space="preserve">. 36.33, 1443b38-41; </w:t>
      </w:r>
      <w:r>
        <w:rPr>
          <w:i/>
          <w:lang w:val="en-GB"/>
        </w:rPr>
        <w:t>Rh</w:t>
      </w:r>
      <w:r>
        <w:rPr>
          <w:lang w:val="en-GB"/>
        </w:rPr>
        <w:t xml:space="preserve">. 2.25, 1403a5-10). In contrast, the </w:t>
      </w:r>
      <w:r>
        <w:rPr>
          <w:i/>
          <w:lang w:val="en-GB"/>
        </w:rPr>
        <w:t>Anonynous Seguerianus</w:t>
      </w:r>
      <w:r>
        <w:rPr>
          <w:lang w:val="en-GB"/>
        </w:rPr>
        <w:t xml:space="preserve"> includes three possibilities (§ 187): saying that the example is false, claiming that the circumstances are different and don’t imply similarity, or dissenting in the way how example is applied. From these three possibilities the first one </w:t>
      </w:r>
      <w:r w:rsidR="00A60A47">
        <w:rPr>
          <w:lang w:val="en-GB"/>
        </w:rPr>
        <w:t xml:space="preserve">in particular </w:t>
      </w:r>
      <w:r>
        <w:rPr>
          <w:lang w:val="en-GB"/>
        </w:rPr>
        <w:t xml:space="preserve">stands out; it implies, in line with the definition of Zeno, that the example should be historical and not fictional, which would create a big difference </w:t>
      </w:r>
      <w:r w:rsidR="00A60A47">
        <w:rPr>
          <w:lang w:val="en-GB"/>
        </w:rPr>
        <w:t>with regard to</w:t>
      </w:r>
      <w:r>
        <w:rPr>
          <w:lang w:val="en-GB"/>
        </w:rPr>
        <w:t xml:space="preserve"> Aristotle, in whose view examples could be real as well as fictional (</w:t>
      </w:r>
      <w:r>
        <w:rPr>
          <w:i/>
          <w:lang w:val="en-GB"/>
        </w:rPr>
        <w:t>Rh</w:t>
      </w:r>
      <w:r>
        <w:rPr>
          <w:lang w:val="en-GB"/>
        </w:rPr>
        <w:t>. 2.20, 1393a28-31).</w:t>
      </w:r>
    </w:p>
    <w:p w:rsidR="00050E3E" w:rsidRDefault="00050E3E">
      <w:pPr>
        <w:spacing w:line="360" w:lineRule="auto"/>
        <w:jc w:val="both"/>
        <w:rPr>
          <w:lang w:val="en-GB"/>
        </w:rPr>
      </w:pPr>
      <w:r>
        <w:rPr>
          <w:lang w:val="en-GB"/>
        </w:rPr>
        <w:tab/>
        <w:t xml:space="preserve">In any case, the possibilities of refutation are increased in Apsines of Gadara’s </w:t>
      </w:r>
      <w:r>
        <w:rPr>
          <w:i/>
          <w:lang w:val="en-GB"/>
        </w:rPr>
        <w:t>Rhetoric</w:t>
      </w:r>
      <w:r>
        <w:rPr>
          <w:lang w:val="en-GB"/>
        </w:rPr>
        <w:t xml:space="preserve">, a </w:t>
      </w:r>
      <w:r w:rsidR="00E8793A">
        <w:rPr>
          <w:lang w:val="en-GB"/>
        </w:rPr>
        <w:t xml:space="preserve">treatise </w:t>
      </w:r>
      <w:r>
        <w:rPr>
          <w:lang w:val="en-GB"/>
        </w:rPr>
        <w:t>from the 3</w:t>
      </w:r>
      <w:r>
        <w:rPr>
          <w:vertAlign w:val="superscript"/>
          <w:lang w:val="en-GB"/>
        </w:rPr>
        <w:t>rd</w:t>
      </w:r>
      <w:r>
        <w:rPr>
          <w:lang w:val="en-GB"/>
        </w:rPr>
        <w:t xml:space="preserve"> century A</w:t>
      </w:r>
      <w:r w:rsidR="00CE1D71">
        <w:rPr>
          <w:lang w:val="en-GB"/>
        </w:rPr>
        <w:t>D</w:t>
      </w:r>
      <w:r>
        <w:rPr>
          <w:lang w:val="en-GB"/>
        </w:rPr>
        <w:t xml:space="preserve"> which, as it seems, Apsines could not bring to a conclusion and </w:t>
      </w:r>
      <w:r w:rsidR="009104DE">
        <w:rPr>
          <w:lang w:val="en-GB"/>
        </w:rPr>
        <w:t xml:space="preserve">was </w:t>
      </w:r>
      <w:r>
        <w:rPr>
          <w:lang w:val="en-GB"/>
        </w:rPr>
        <w:t xml:space="preserve">thus </w:t>
      </w:r>
      <w:r w:rsidR="00A60A47">
        <w:rPr>
          <w:lang w:val="en-GB"/>
        </w:rPr>
        <w:t xml:space="preserve">finished </w:t>
      </w:r>
      <w:r>
        <w:rPr>
          <w:lang w:val="en-GB"/>
        </w:rPr>
        <w:t>by one of his students</w:t>
      </w:r>
      <w:r w:rsidR="00E740AF">
        <w:rPr>
          <w:lang w:val="en-GB"/>
        </w:rPr>
        <w:t>.</w:t>
      </w:r>
      <w:r>
        <w:rPr>
          <w:rStyle w:val="FootnoteCharacters"/>
        </w:rPr>
        <w:footnoteReference w:id="35"/>
      </w:r>
      <w:r>
        <w:rPr>
          <w:lang w:val="en-GB"/>
        </w:rPr>
        <w:t xml:space="preserve"> In its chapter 7 this treatise distinguishes at least five ways of refutation of the example, namely through contradiction (§ 7.1), through a difference (§ 7.2), through the consequence (§ 7.3), through the counter-argumentation of an authority (§ 7.4) and finally through the inversion of the argument (§ 7.5).</w:t>
      </w:r>
    </w:p>
    <w:p w:rsidR="00050E3E" w:rsidRDefault="00050E3E">
      <w:pPr>
        <w:spacing w:line="360" w:lineRule="auto"/>
        <w:jc w:val="both"/>
        <w:rPr>
          <w:lang w:val="en-GB"/>
        </w:rPr>
      </w:pPr>
    </w:p>
    <w:p w:rsidR="00050E3E" w:rsidRDefault="00050E3E">
      <w:pPr>
        <w:spacing w:line="360" w:lineRule="auto"/>
        <w:jc w:val="both"/>
        <w:rPr>
          <w:lang w:val="en-GB"/>
        </w:rPr>
      </w:pPr>
      <w:r>
        <w:rPr>
          <w:smallCaps/>
          <w:lang w:val="en-GB"/>
        </w:rPr>
        <w:t xml:space="preserve">The content of </w:t>
      </w:r>
      <w:r>
        <w:rPr>
          <w:i/>
          <w:smallCaps/>
          <w:lang w:val="en-GB"/>
        </w:rPr>
        <w:t>paradeigma</w:t>
      </w:r>
    </w:p>
    <w:p w:rsidR="00050E3E" w:rsidRDefault="00050E3E">
      <w:pPr>
        <w:spacing w:line="360" w:lineRule="auto"/>
        <w:jc w:val="both"/>
        <w:rPr>
          <w:lang w:val="en-GB"/>
        </w:rPr>
      </w:pPr>
      <w:r>
        <w:rPr>
          <w:lang w:val="en-GB"/>
        </w:rPr>
        <w:tab/>
        <w:t xml:space="preserve">One of the essential topics regarding the </w:t>
      </w:r>
      <w:r>
        <w:rPr>
          <w:i/>
          <w:lang w:val="en-GB"/>
        </w:rPr>
        <w:t>paradeigma</w:t>
      </w:r>
      <w:r>
        <w:rPr>
          <w:lang w:val="en-GB"/>
        </w:rPr>
        <w:t xml:space="preserve"> is the delimitation of its content. In fact, on this point there was already a disagreement in the </w:t>
      </w:r>
      <w:r w:rsidR="006559BE">
        <w:rPr>
          <w:lang w:val="en-GB"/>
        </w:rPr>
        <w:t>C</w:t>
      </w:r>
      <w:r>
        <w:rPr>
          <w:lang w:val="en-GB"/>
        </w:rPr>
        <w:t xml:space="preserve">lassical period, since the </w:t>
      </w:r>
      <w:r>
        <w:rPr>
          <w:i/>
          <w:lang w:val="en-GB"/>
        </w:rPr>
        <w:t>Rhetoric to Alexander</w:t>
      </w:r>
      <w:r>
        <w:rPr>
          <w:lang w:val="en-GB"/>
        </w:rPr>
        <w:t xml:space="preserve"> considers that example has to be historical (</w:t>
      </w:r>
      <w:r>
        <w:rPr>
          <w:i/>
          <w:lang w:val="en-GB"/>
        </w:rPr>
        <w:t>Rh.Al</w:t>
      </w:r>
      <w:r>
        <w:rPr>
          <w:lang w:val="en-GB"/>
        </w:rPr>
        <w:t>. 8.14, 1430a6-8) and, furthermore, preferably referring to recent events or, at least, to well known events (</w:t>
      </w:r>
      <w:r>
        <w:rPr>
          <w:i/>
          <w:lang w:val="en-GB"/>
        </w:rPr>
        <w:t>Rh.Al</w:t>
      </w:r>
      <w:r>
        <w:rPr>
          <w:lang w:val="en-GB"/>
        </w:rPr>
        <w:t>. 32.3, 1439a1-4), while Aristotle distinguishes between examples departing from historical events and invented or fictional examples, including the parable (</w:t>
      </w:r>
      <w:r>
        <w:rPr>
          <w:rFonts w:ascii="GR Times New Roman" w:hAnsi="GR Times New Roman" w:cs="GR Times New Roman"/>
        </w:rPr>
        <w:t>παραβολ</w:t>
      </w:r>
      <w:r>
        <w:rPr>
          <w:rFonts w:ascii="GR Times New Roman" w:hAnsi="GR Times New Roman" w:cs="GR Times New Roman"/>
          <w:lang w:val="el-GR"/>
        </w:rPr>
        <w:t>ή</w:t>
      </w:r>
      <w:r>
        <w:rPr>
          <w:lang w:val="en-GB"/>
        </w:rPr>
        <w:t>) and the fable (</w:t>
      </w:r>
      <w:r>
        <w:rPr>
          <w:rFonts w:ascii="GR Times New Roman" w:hAnsi="GR Times New Roman" w:cs="GR Times New Roman"/>
        </w:rPr>
        <w:t>λόγ</w:t>
      </w:r>
      <w:r>
        <w:rPr>
          <w:rFonts w:ascii="GR Times New Roman" w:hAnsi="GR Times New Roman" w:cs="GR Times New Roman"/>
          <w:lang w:val="el-GR"/>
        </w:rPr>
        <w:t>ος</w:t>
      </w:r>
      <w:r>
        <w:rPr>
          <w:lang w:val="en-GB"/>
        </w:rPr>
        <w:t>) (</w:t>
      </w:r>
      <w:r>
        <w:rPr>
          <w:i/>
          <w:lang w:val="en-GB"/>
        </w:rPr>
        <w:t>Rh</w:t>
      </w:r>
      <w:r>
        <w:rPr>
          <w:lang w:val="en-GB"/>
        </w:rPr>
        <w:t>. 2.20, 1393a28-31)</w:t>
      </w:r>
      <w:r w:rsidR="00E740AF">
        <w:rPr>
          <w:lang w:val="en-GB"/>
        </w:rPr>
        <w:t>.</w:t>
      </w:r>
      <w:r>
        <w:rPr>
          <w:rStyle w:val="FootnoteCharacters"/>
        </w:rPr>
        <w:footnoteReference w:id="36"/>
      </w:r>
    </w:p>
    <w:p w:rsidR="00050E3E" w:rsidRDefault="00050E3E">
      <w:pPr>
        <w:spacing w:line="360" w:lineRule="auto"/>
        <w:jc w:val="both"/>
        <w:rPr>
          <w:lang w:val="en-GB"/>
        </w:rPr>
      </w:pPr>
      <w:r>
        <w:rPr>
          <w:lang w:val="en-GB"/>
        </w:rPr>
        <w:tab/>
        <w:t xml:space="preserve"> The content of </w:t>
      </w:r>
      <w:r>
        <w:rPr>
          <w:i/>
          <w:lang w:val="en-GB"/>
        </w:rPr>
        <w:t>paradeigma</w:t>
      </w:r>
      <w:r>
        <w:rPr>
          <w:lang w:val="en-GB"/>
        </w:rPr>
        <w:t xml:space="preserve"> or example and its differentiation with regard mainly to the </w:t>
      </w:r>
      <w:r>
        <w:rPr>
          <w:i/>
          <w:lang w:val="en-GB"/>
        </w:rPr>
        <w:t>parabole</w:t>
      </w:r>
      <w:r>
        <w:rPr>
          <w:lang w:val="en-GB"/>
        </w:rPr>
        <w:t xml:space="preserve"> or comparison is a question addressed in some treatises.</w:t>
      </w:r>
    </w:p>
    <w:p w:rsidR="00050E3E" w:rsidRDefault="00050E3E">
      <w:pPr>
        <w:spacing w:line="360" w:lineRule="auto"/>
        <w:jc w:val="both"/>
        <w:rPr>
          <w:lang w:val="en-GB"/>
        </w:rPr>
      </w:pPr>
      <w:r>
        <w:rPr>
          <w:lang w:val="en-GB"/>
        </w:rPr>
        <w:tab/>
        <w:t xml:space="preserve"> In Apsines of Gadara’s </w:t>
      </w:r>
      <w:r>
        <w:rPr>
          <w:i/>
          <w:lang w:val="en-GB"/>
        </w:rPr>
        <w:t>Rhetoric</w:t>
      </w:r>
      <w:r>
        <w:rPr>
          <w:lang w:val="en-GB"/>
        </w:rPr>
        <w:t xml:space="preserve"> the </w:t>
      </w:r>
      <w:r>
        <w:rPr>
          <w:i/>
          <w:lang w:val="en-GB"/>
        </w:rPr>
        <w:t>epicheirema</w:t>
      </w:r>
      <w:r>
        <w:rPr>
          <w:lang w:val="en-GB"/>
        </w:rPr>
        <w:t xml:space="preserve">, a word with which in the </w:t>
      </w:r>
      <w:r w:rsidR="00391588">
        <w:rPr>
          <w:lang w:val="en-GB"/>
        </w:rPr>
        <w:t>L</w:t>
      </w:r>
      <w:r>
        <w:rPr>
          <w:lang w:val="en-GB"/>
        </w:rPr>
        <w:t xml:space="preserve">ate period logical proof is </w:t>
      </w:r>
      <w:r w:rsidR="006D31F8">
        <w:rPr>
          <w:lang w:val="en-GB"/>
        </w:rPr>
        <w:t>designated</w:t>
      </w:r>
      <w:r w:rsidR="00E740AF">
        <w:rPr>
          <w:lang w:val="en-GB"/>
        </w:rPr>
        <w:t>,</w:t>
      </w:r>
      <w:r>
        <w:rPr>
          <w:rStyle w:val="FootnoteCharacters"/>
        </w:rPr>
        <w:footnoteReference w:id="37"/>
      </w:r>
      <w:r>
        <w:rPr>
          <w:lang w:val="en-GB"/>
        </w:rPr>
        <w:t xml:space="preserve"> is divided into </w:t>
      </w:r>
      <w:r>
        <w:rPr>
          <w:i/>
          <w:lang w:val="en-GB"/>
        </w:rPr>
        <w:t>paradeigma</w:t>
      </w:r>
      <w:r>
        <w:rPr>
          <w:lang w:val="en-GB"/>
        </w:rPr>
        <w:t xml:space="preserve"> and enthymeme (§ 8.1), following the path indicated by Aristotle. Chapter 6 of that treatise is dedicated to the </w:t>
      </w:r>
      <w:r>
        <w:rPr>
          <w:i/>
          <w:lang w:val="en-GB"/>
        </w:rPr>
        <w:t>paradeigma</w:t>
      </w:r>
      <w:r>
        <w:rPr>
          <w:lang w:val="en-GB"/>
        </w:rPr>
        <w:t xml:space="preserve"> and it starts </w:t>
      </w:r>
      <w:r w:rsidR="006D31F8">
        <w:rPr>
          <w:lang w:val="en-GB"/>
        </w:rPr>
        <w:t xml:space="preserve">by </w:t>
      </w:r>
      <w:r>
        <w:rPr>
          <w:lang w:val="en-GB"/>
        </w:rPr>
        <w:t>differentiating it from the comparison</w:t>
      </w:r>
      <w:r w:rsidR="00E740AF">
        <w:rPr>
          <w:lang w:val="en-GB"/>
        </w:rPr>
        <w:t>:</w:t>
      </w:r>
      <w:r>
        <w:rPr>
          <w:rStyle w:val="FootnoteCharacters"/>
        </w:rPr>
        <w:footnoteReference w:id="38"/>
      </w:r>
      <w:r>
        <w:rPr>
          <w:lang w:val="en-GB"/>
        </w:rPr>
        <w:t xml:space="preserve"> “A </w:t>
      </w:r>
      <w:r>
        <w:rPr>
          <w:i/>
          <w:lang w:val="en-GB"/>
        </w:rPr>
        <w:t>parabolē</w:t>
      </w:r>
      <w:r>
        <w:rPr>
          <w:lang w:val="en-GB"/>
        </w:rPr>
        <w:t xml:space="preserve"> (or comparison) differs from a </w:t>
      </w:r>
      <w:r>
        <w:rPr>
          <w:i/>
          <w:lang w:val="en-GB"/>
        </w:rPr>
        <w:t>paradeigma</w:t>
      </w:r>
      <w:r>
        <w:rPr>
          <w:lang w:val="en-GB"/>
        </w:rPr>
        <w:t xml:space="preserve"> (or example) in this, that the parabole is taken from something inanimate or from irrational living things ... Paradeigms, on the other hand, are taken from persons of the past” (</w:t>
      </w:r>
      <w:r>
        <w:rPr>
          <w:rFonts w:ascii="GR Times New Roman" w:hAnsi="GR Times New Roman" w:cs="GR Times New Roman"/>
          <w:lang w:val="el-GR"/>
        </w:rPr>
        <w:t>Παραβολὴ</w:t>
      </w:r>
      <w:r>
        <w:rPr>
          <w:rFonts w:ascii="GR Times New Roman" w:hAnsi="GR Times New Roman" w:cs="GR Times New Roman"/>
          <w:lang w:val="en-GB"/>
        </w:rPr>
        <w:t xml:space="preserve"> </w:t>
      </w:r>
      <w:r>
        <w:rPr>
          <w:rFonts w:ascii="GR Times New Roman" w:hAnsi="GR Times New Roman" w:cs="GR Times New Roman"/>
          <w:lang w:val="el-GR"/>
        </w:rPr>
        <w:t>παραδείγματος</w:t>
      </w:r>
      <w:r>
        <w:rPr>
          <w:rFonts w:ascii="GR Times New Roman" w:hAnsi="GR Times New Roman" w:cs="GR Times New Roman"/>
          <w:lang w:val="en-GB"/>
        </w:rPr>
        <w:t xml:space="preserve"> </w:t>
      </w:r>
      <w:r>
        <w:rPr>
          <w:rFonts w:ascii="GR Times New Roman" w:hAnsi="GR Times New Roman" w:cs="GR Times New Roman"/>
          <w:lang w:val="el-GR"/>
        </w:rPr>
        <w:t>τούτῳ</w:t>
      </w:r>
      <w:r>
        <w:rPr>
          <w:rFonts w:ascii="GR Times New Roman" w:hAnsi="GR Times New Roman" w:cs="GR Times New Roman"/>
          <w:lang w:val="en-GB"/>
        </w:rPr>
        <w:t xml:space="preserve"> </w:t>
      </w:r>
      <w:r>
        <w:rPr>
          <w:rFonts w:ascii="GR Times New Roman" w:hAnsi="GR Times New Roman" w:cs="GR Times New Roman"/>
          <w:lang w:val="el-GR"/>
        </w:rPr>
        <w:t>διαφέρει</w:t>
      </w:r>
      <w:r>
        <w:rPr>
          <w:rFonts w:ascii="GR Times New Roman" w:hAnsi="GR Times New Roman" w:cs="GR Times New Roman"/>
          <w:lang w:val="en-GB"/>
        </w:rPr>
        <w:t xml:space="preserve">, </w:t>
      </w:r>
      <w:r>
        <w:rPr>
          <w:rFonts w:ascii="GR Times New Roman" w:hAnsi="GR Times New Roman" w:cs="GR Times New Roman"/>
          <w:lang w:val="el-GR"/>
        </w:rPr>
        <w:t>ὅτι</w:t>
      </w:r>
      <w:r>
        <w:rPr>
          <w:rFonts w:ascii="GR Times New Roman" w:hAnsi="GR Times New Roman" w:cs="GR Times New Roman"/>
          <w:lang w:val="en-GB"/>
        </w:rPr>
        <w:t xml:space="preserve"> </w:t>
      </w:r>
      <w:r>
        <w:rPr>
          <w:rFonts w:ascii="GR Times New Roman" w:hAnsi="GR Times New Roman" w:cs="GR Times New Roman"/>
          <w:lang w:val="el-GR"/>
        </w:rPr>
        <w:t>ἡ</w:t>
      </w:r>
      <w:r>
        <w:rPr>
          <w:rFonts w:ascii="GR Times New Roman" w:hAnsi="GR Times New Roman" w:cs="GR Times New Roman"/>
          <w:lang w:val="en-GB"/>
        </w:rPr>
        <w:t xml:space="preserve"> </w:t>
      </w:r>
      <w:r>
        <w:rPr>
          <w:rFonts w:ascii="GR Times New Roman" w:hAnsi="GR Times New Roman" w:cs="GR Times New Roman"/>
          <w:lang w:val="el-GR"/>
        </w:rPr>
        <w:t>μὲν</w:t>
      </w:r>
      <w:r>
        <w:rPr>
          <w:rFonts w:ascii="GR Times New Roman" w:hAnsi="GR Times New Roman" w:cs="GR Times New Roman"/>
          <w:lang w:val="en-GB"/>
        </w:rPr>
        <w:t xml:space="preserve"> </w:t>
      </w:r>
      <w:r>
        <w:rPr>
          <w:rFonts w:ascii="GR Times New Roman" w:hAnsi="GR Times New Roman" w:cs="GR Times New Roman"/>
          <w:lang w:val="el-GR"/>
        </w:rPr>
        <w:t>παραβολὴ</w:t>
      </w:r>
      <w:r>
        <w:rPr>
          <w:rFonts w:ascii="GR Times New Roman" w:hAnsi="GR Times New Roman" w:cs="GR Times New Roman"/>
          <w:lang w:val="en-GB"/>
        </w:rPr>
        <w:t xml:space="preserve"> </w:t>
      </w:r>
      <w:r>
        <w:rPr>
          <w:rFonts w:ascii="GR Times New Roman" w:hAnsi="GR Times New Roman" w:cs="GR Times New Roman"/>
          <w:lang w:val="el-GR"/>
        </w:rPr>
        <w:t>ἀπ</w:t>
      </w:r>
      <w:r>
        <w:rPr>
          <w:rFonts w:ascii="GR Times New Roman" w:hAnsi="GR Times New Roman" w:cs="GR Times New Roman"/>
          <w:lang w:val="en-GB"/>
        </w:rPr>
        <w:t xml:space="preserve">’ </w:t>
      </w:r>
      <w:r>
        <w:rPr>
          <w:rFonts w:ascii="GR Times New Roman" w:hAnsi="GR Times New Roman" w:cs="GR Times New Roman"/>
        </w:rPr>
        <w:t>ἀψύχων</w:t>
      </w:r>
      <w:r>
        <w:rPr>
          <w:rFonts w:ascii="GR Times New Roman" w:hAnsi="GR Times New Roman" w:cs="GR Times New Roman"/>
          <w:lang w:val="en-GB"/>
        </w:rPr>
        <w:t xml:space="preserve"> </w:t>
      </w:r>
      <w:r>
        <w:rPr>
          <w:rFonts w:ascii="GR Times New Roman" w:hAnsi="GR Times New Roman" w:cs="GR Times New Roman"/>
        </w:rPr>
        <w:t>ἢ</w:t>
      </w:r>
      <w:r>
        <w:rPr>
          <w:rFonts w:ascii="GR Times New Roman" w:hAnsi="GR Times New Roman" w:cs="GR Times New Roman"/>
          <w:lang w:val="en-GB"/>
        </w:rPr>
        <w:t xml:space="preserve"> </w:t>
      </w:r>
      <w:r>
        <w:rPr>
          <w:rFonts w:ascii="GR Times New Roman" w:hAnsi="GR Times New Roman" w:cs="GR Times New Roman"/>
        </w:rPr>
        <w:t>ἀλόγων</w:t>
      </w:r>
      <w:r>
        <w:rPr>
          <w:rFonts w:ascii="GR Times New Roman" w:hAnsi="GR Times New Roman" w:cs="GR Times New Roman"/>
          <w:lang w:val="en-GB"/>
        </w:rPr>
        <w:t xml:space="preserve"> </w:t>
      </w:r>
      <w:r>
        <w:rPr>
          <w:rFonts w:ascii="GR Times New Roman" w:hAnsi="GR Times New Roman" w:cs="GR Times New Roman"/>
        </w:rPr>
        <w:t>λαμβάνεται</w:t>
      </w:r>
      <w:r>
        <w:rPr>
          <w:rFonts w:ascii="GR Times New Roman" w:hAnsi="GR Times New Roman" w:cs="GR Times New Roman"/>
          <w:lang w:val="en-GB"/>
        </w:rPr>
        <w:t xml:space="preserve"> ... </w:t>
      </w:r>
      <w:r>
        <w:rPr>
          <w:rFonts w:ascii="GR Times New Roman" w:hAnsi="GR Times New Roman" w:cs="GR Times New Roman"/>
          <w:lang w:val="el-GR"/>
        </w:rPr>
        <w:t>τὰ</w:t>
      </w:r>
      <w:r>
        <w:rPr>
          <w:rFonts w:ascii="GR Times New Roman" w:hAnsi="GR Times New Roman" w:cs="GR Times New Roman"/>
          <w:lang w:val="en-GB"/>
        </w:rPr>
        <w:t xml:space="preserve"> </w:t>
      </w:r>
      <w:r>
        <w:rPr>
          <w:rFonts w:ascii="GR Times New Roman" w:hAnsi="GR Times New Roman" w:cs="GR Times New Roman"/>
          <w:lang w:val="el-GR"/>
        </w:rPr>
        <w:t>δὲ</w:t>
      </w:r>
      <w:r>
        <w:rPr>
          <w:rFonts w:ascii="GR Times New Roman" w:hAnsi="GR Times New Roman" w:cs="GR Times New Roman"/>
          <w:lang w:val="en-GB"/>
        </w:rPr>
        <w:t xml:space="preserve"> </w:t>
      </w:r>
      <w:r>
        <w:rPr>
          <w:rFonts w:ascii="GR Times New Roman" w:hAnsi="GR Times New Roman" w:cs="GR Times New Roman"/>
          <w:lang w:val="el-GR"/>
        </w:rPr>
        <w:t>παραδείγματα</w:t>
      </w:r>
      <w:r>
        <w:rPr>
          <w:rFonts w:ascii="GR Times New Roman" w:hAnsi="GR Times New Roman" w:cs="GR Times New Roman"/>
          <w:lang w:val="en-GB"/>
        </w:rPr>
        <w:t xml:space="preserve"> </w:t>
      </w:r>
      <w:r>
        <w:rPr>
          <w:rFonts w:ascii="GR Times New Roman" w:hAnsi="GR Times New Roman" w:cs="GR Times New Roman"/>
          <w:lang w:val="el-GR"/>
        </w:rPr>
        <w:t>ἐκ</w:t>
      </w:r>
      <w:r>
        <w:rPr>
          <w:rFonts w:ascii="GR Times New Roman" w:hAnsi="GR Times New Roman" w:cs="GR Times New Roman"/>
          <w:lang w:val="en-GB"/>
        </w:rPr>
        <w:t xml:space="preserve"> </w:t>
      </w:r>
      <w:r>
        <w:rPr>
          <w:rFonts w:ascii="GR Times New Roman" w:hAnsi="GR Times New Roman" w:cs="GR Times New Roman"/>
          <w:lang w:val="el-GR"/>
        </w:rPr>
        <w:t>γεγονότων</w:t>
      </w:r>
      <w:r>
        <w:rPr>
          <w:rFonts w:ascii="GR Times New Roman" w:hAnsi="GR Times New Roman" w:cs="GR Times New Roman"/>
          <w:lang w:val="en-GB"/>
        </w:rPr>
        <w:t xml:space="preserve"> </w:t>
      </w:r>
      <w:r>
        <w:rPr>
          <w:rFonts w:ascii="GR Times New Roman" w:hAnsi="GR Times New Roman" w:cs="GR Times New Roman"/>
          <w:lang w:val="el-GR"/>
        </w:rPr>
        <w:t>ἤδη</w:t>
      </w:r>
      <w:r>
        <w:rPr>
          <w:rFonts w:ascii="GR Times New Roman" w:hAnsi="GR Times New Roman" w:cs="GR Times New Roman"/>
          <w:lang w:val="en-GB"/>
        </w:rPr>
        <w:t xml:space="preserve"> </w:t>
      </w:r>
      <w:r>
        <w:rPr>
          <w:rFonts w:ascii="GR Times New Roman" w:hAnsi="GR Times New Roman" w:cs="GR Times New Roman"/>
          <w:lang w:val="el-GR"/>
        </w:rPr>
        <w:t>λαμβάνεται</w:t>
      </w:r>
      <w:r>
        <w:rPr>
          <w:rFonts w:ascii="GR Times New Roman" w:hAnsi="GR Times New Roman" w:cs="GR Times New Roman"/>
          <w:lang w:val="en-GB"/>
        </w:rPr>
        <w:t xml:space="preserve"> </w:t>
      </w:r>
      <w:r>
        <w:rPr>
          <w:rFonts w:ascii="GR Times New Roman" w:hAnsi="GR Times New Roman" w:cs="GR Times New Roman"/>
          <w:lang w:val="el-GR"/>
        </w:rPr>
        <w:t>προσώ</w:t>
      </w:r>
      <w:r>
        <w:rPr>
          <w:rFonts w:ascii="GR Times New Roman" w:hAnsi="GR Times New Roman" w:cs="GR Times New Roman"/>
        </w:rPr>
        <w:t>πων</w:t>
      </w:r>
      <w:r w:rsidR="001443D3">
        <w:rPr>
          <w:lang w:val="en-GB"/>
        </w:rPr>
        <w:t xml:space="preserve">, </w:t>
      </w:r>
      <w:r>
        <w:rPr>
          <w:lang w:val="en-GB"/>
        </w:rPr>
        <w:t>§ 6.1).</w:t>
      </w:r>
      <w:r w:rsidR="001443D3">
        <w:rPr>
          <w:rStyle w:val="FootnoteCharacters"/>
        </w:rPr>
        <w:footnoteReference w:id="39"/>
      </w:r>
    </w:p>
    <w:p w:rsidR="00050E3E" w:rsidRDefault="00050E3E">
      <w:pPr>
        <w:spacing w:line="360" w:lineRule="auto"/>
        <w:jc w:val="both"/>
        <w:rPr>
          <w:lang w:val="en-GB"/>
        </w:rPr>
      </w:pPr>
      <w:r>
        <w:rPr>
          <w:lang w:val="en-GB"/>
        </w:rPr>
        <w:tab/>
        <w:t xml:space="preserve">On the one hand, Apsines considers the </w:t>
      </w:r>
      <w:r>
        <w:rPr>
          <w:i/>
          <w:lang w:val="en-GB"/>
        </w:rPr>
        <w:t>paradeigma</w:t>
      </w:r>
      <w:r>
        <w:rPr>
          <w:lang w:val="en-GB"/>
        </w:rPr>
        <w:t xml:space="preserve"> a resource similar to comparison, which implies, although its definition is not preserved, that he saw it as a resource based on a relation</w:t>
      </w:r>
      <w:r w:rsidR="0030728A">
        <w:rPr>
          <w:lang w:val="en-GB"/>
        </w:rPr>
        <w:t>ship</w:t>
      </w:r>
      <w:r>
        <w:rPr>
          <w:lang w:val="en-GB"/>
        </w:rPr>
        <w:t xml:space="preserve"> of similarity between </w:t>
      </w:r>
      <w:r>
        <w:rPr>
          <w:i/>
          <w:lang w:val="en-GB"/>
        </w:rPr>
        <w:t>illustrans</w:t>
      </w:r>
      <w:r>
        <w:rPr>
          <w:lang w:val="en-GB"/>
        </w:rPr>
        <w:t xml:space="preserve"> and </w:t>
      </w:r>
      <w:r>
        <w:rPr>
          <w:i/>
          <w:lang w:val="en-GB"/>
        </w:rPr>
        <w:t>illustrandum</w:t>
      </w:r>
      <w:r w:rsidR="00E740AF">
        <w:rPr>
          <w:lang w:val="en-GB"/>
        </w:rPr>
        <w:t>.</w:t>
      </w:r>
      <w:r>
        <w:rPr>
          <w:rStyle w:val="FootnoteCharacters"/>
        </w:rPr>
        <w:footnoteReference w:id="40"/>
      </w:r>
      <w:r>
        <w:rPr>
          <w:lang w:val="en-GB"/>
        </w:rPr>
        <w:t xml:space="preserve"> On the other hand, Apsines considers that the specific </w:t>
      </w:r>
      <w:r w:rsidR="00DC59AE">
        <w:rPr>
          <w:lang w:val="en-GB"/>
        </w:rPr>
        <w:t xml:space="preserve">quality of </w:t>
      </w:r>
      <w:r>
        <w:rPr>
          <w:lang w:val="en-GB"/>
        </w:rPr>
        <w:t xml:space="preserve">the </w:t>
      </w:r>
      <w:r>
        <w:rPr>
          <w:i/>
          <w:lang w:val="en-GB"/>
        </w:rPr>
        <w:t>paradeigma</w:t>
      </w:r>
      <w:r>
        <w:rPr>
          <w:lang w:val="en-GB"/>
        </w:rPr>
        <w:t xml:space="preserve"> is its historical content. Moreover, those real events </w:t>
      </w:r>
      <w:r w:rsidR="006D31F8">
        <w:rPr>
          <w:lang w:val="en-GB"/>
        </w:rPr>
        <w:t xml:space="preserve">on which </w:t>
      </w:r>
      <w:r>
        <w:rPr>
          <w:lang w:val="en-GB"/>
        </w:rPr>
        <w:t xml:space="preserve">the example is based can be, according to Apsines, domestic or foreign. The domestic ones are preferred, although the foreign events are not to be totally rejected (§ 6.2). If the </w:t>
      </w:r>
      <w:r>
        <w:rPr>
          <w:i/>
          <w:lang w:val="en-GB"/>
        </w:rPr>
        <w:t>Rhetoric to Alexander</w:t>
      </w:r>
      <w:r>
        <w:rPr>
          <w:lang w:val="en-GB"/>
        </w:rPr>
        <w:t xml:space="preserve"> gives priority to examples close in time, the Apsines’ </w:t>
      </w:r>
      <w:r>
        <w:rPr>
          <w:i/>
          <w:lang w:val="en-GB"/>
        </w:rPr>
        <w:t>Rhetoric</w:t>
      </w:r>
      <w:r>
        <w:rPr>
          <w:lang w:val="en-GB"/>
        </w:rPr>
        <w:t xml:space="preserve"> </w:t>
      </w:r>
      <w:r w:rsidR="006D31F8">
        <w:rPr>
          <w:lang w:val="en-GB"/>
        </w:rPr>
        <w:t xml:space="preserve">prioritises </w:t>
      </w:r>
      <w:r>
        <w:rPr>
          <w:lang w:val="en-GB"/>
        </w:rPr>
        <w:t>examples close from an affective or emotional point of view.</w:t>
      </w:r>
    </w:p>
    <w:p w:rsidR="00050E3E" w:rsidRDefault="00050E3E">
      <w:pPr>
        <w:spacing w:line="360" w:lineRule="auto"/>
        <w:jc w:val="both"/>
        <w:rPr>
          <w:lang w:val="en-GB"/>
        </w:rPr>
      </w:pPr>
      <w:r>
        <w:rPr>
          <w:lang w:val="en-GB"/>
        </w:rPr>
        <w:tab/>
        <w:t xml:space="preserve">Furthermore, coinciding with classical sources, Apsines also advises that examples be well known and clear, not too remote nor mythical, </w:t>
      </w:r>
      <w:r w:rsidR="00AB0B71">
        <w:rPr>
          <w:lang w:val="en-GB"/>
        </w:rPr>
        <w:t xml:space="preserve">closely </w:t>
      </w:r>
      <w:r>
        <w:rPr>
          <w:lang w:val="en-GB"/>
        </w:rPr>
        <w:t xml:space="preserve">related </w:t>
      </w:r>
      <w:r w:rsidR="00AB0B71">
        <w:rPr>
          <w:lang w:val="en-GB"/>
        </w:rPr>
        <w:t xml:space="preserve">to </w:t>
      </w:r>
      <w:r>
        <w:rPr>
          <w:lang w:val="en-GB"/>
        </w:rPr>
        <w:t>the issue</w:t>
      </w:r>
      <w:r w:rsidR="00AB0B71">
        <w:rPr>
          <w:lang w:val="en-GB"/>
        </w:rPr>
        <w:t xml:space="preserve"> under discussion</w:t>
      </w:r>
      <w:r>
        <w:rPr>
          <w:lang w:val="en-GB"/>
        </w:rPr>
        <w:t xml:space="preserve"> and not very long (§ 6.6). Regarding their inclusion in the speech, this treatise explains that it is not </w:t>
      </w:r>
      <w:r w:rsidR="006D31F8">
        <w:rPr>
          <w:lang w:val="en-GB"/>
        </w:rPr>
        <w:t xml:space="preserve">common </w:t>
      </w:r>
      <w:r>
        <w:rPr>
          <w:lang w:val="en-GB"/>
        </w:rPr>
        <w:t xml:space="preserve">to use the </w:t>
      </w:r>
      <w:r>
        <w:rPr>
          <w:i/>
          <w:lang w:val="en-GB"/>
        </w:rPr>
        <w:t>paradeigma</w:t>
      </w:r>
      <w:r>
        <w:rPr>
          <w:lang w:val="en-GB"/>
        </w:rPr>
        <w:t xml:space="preserve"> in the </w:t>
      </w:r>
      <w:r w:rsidRPr="00AB0B71">
        <w:rPr>
          <w:i/>
          <w:iCs/>
          <w:lang w:val="en-GB"/>
        </w:rPr>
        <w:t>prooimion</w:t>
      </w:r>
      <w:r>
        <w:rPr>
          <w:lang w:val="en-GB"/>
        </w:rPr>
        <w:t xml:space="preserve">, </w:t>
      </w:r>
      <w:r w:rsidR="00356483">
        <w:rPr>
          <w:lang w:val="en-GB"/>
        </w:rPr>
        <w:t>unlike</w:t>
      </w:r>
      <w:r>
        <w:rPr>
          <w:lang w:val="en-GB"/>
        </w:rPr>
        <w:t xml:space="preserve"> in the </w:t>
      </w:r>
      <w:r w:rsidR="006D31F8">
        <w:rPr>
          <w:lang w:val="en-GB"/>
        </w:rPr>
        <w:t>remaining</w:t>
      </w:r>
      <w:r>
        <w:rPr>
          <w:lang w:val="en-GB"/>
        </w:rPr>
        <w:t xml:space="preserve"> parts of the speech, and</w:t>
      </w:r>
      <w:r w:rsidR="00A554D7">
        <w:rPr>
          <w:lang w:val="en-GB"/>
        </w:rPr>
        <w:t xml:space="preserve"> that</w:t>
      </w:r>
      <w:r>
        <w:rPr>
          <w:lang w:val="en-GB"/>
        </w:rPr>
        <w:t xml:space="preserve"> the conclusions derived from the </w:t>
      </w:r>
      <w:r>
        <w:rPr>
          <w:i/>
          <w:lang w:val="en-GB"/>
        </w:rPr>
        <w:t>paradeigma</w:t>
      </w:r>
      <w:r>
        <w:rPr>
          <w:lang w:val="en-GB"/>
        </w:rPr>
        <w:t xml:space="preserve"> can </w:t>
      </w:r>
      <w:r w:rsidR="00AB0B71">
        <w:rPr>
          <w:lang w:val="en-GB"/>
        </w:rPr>
        <w:t>appear</w:t>
      </w:r>
      <w:r>
        <w:rPr>
          <w:lang w:val="en-GB"/>
        </w:rPr>
        <w:t xml:space="preserve"> before or after (§ 6.7)</w:t>
      </w:r>
      <w:r w:rsidR="00E740AF">
        <w:rPr>
          <w:lang w:val="en-GB"/>
        </w:rPr>
        <w:t>.</w:t>
      </w:r>
      <w:r>
        <w:rPr>
          <w:rStyle w:val="FootnoteCharacters"/>
        </w:rPr>
        <w:footnoteReference w:id="41"/>
      </w:r>
    </w:p>
    <w:p w:rsidR="00050E3E" w:rsidRDefault="00050E3E">
      <w:pPr>
        <w:spacing w:line="360" w:lineRule="auto"/>
        <w:jc w:val="both"/>
        <w:rPr>
          <w:lang w:val="en-GB"/>
        </w:rPr>
      </w:pPr>
      <w:r>
        <w:rPr>
          <w:lang w:val="en-GB"/>
        </w:rPr>
        <w:tab/>
        <w:t xml:space="preserve">In his </w:t>
      </w:r>
      <w:r>
        <w:rPr>
          <w:i/>
          <w:lang w:val="en-GB"/>
        </w:rPr>
        <w:t>Rhetoric</w:t>
      </w:r>
      <w:r>
        <w:rPr>
          <w:lang w:val="en-GB"/>
        </w:rPr>
        <w:t xml:space="preserve"> Rufus </w:t>
      </w:r>
      <w:r w:rsidR="006D31F8">
        <w:rPr>
          <w:lang w:val="en-GB"/>
        </w:rPr>
        <w:t xml:space="preserve">organises </w:t>
      </w:r>
      <w:r>
        <w:rPr>
          <w:lang w:val="en-GB"/>
        </w:rPr>
        <w:t>the matter of arguments distinguishing also between non-artistic and artistic proofs. But in the last group he distinguishes arguments based on people, on facts and on examples (§ 27). Arguments based on example include the example itself (</w:t>
      </w:r>
      <w:r>
        <w:rPr>
          <w:i/>
          <w:lang w:val="en-GB"/>
        </w:rPr>
        <w:t>paradeigma</w:t>
      </w:r>
      <w:r>
        <w:rPr>
          <w:lang w:val="en-GB"/>
        </w:rPr>
        <w:t>), the comparison (</w:t>
      </w:r>
      <w:r>
        <w:rPr>
          <w:i/>
          <w:lang w:val="en-GB"/>
        </w:rPr>
        <w:t>parabole</w:t>
      </w:r>
      <w:r>
        <w:rPr>
          <w:lang w:val="en-GB"/>
        </w:rPr>
        <w:t xml:space="preserve">) and the hypothesis (§ 30). The difference is that the </w:t>
      </w:r>
      <w:r>
        <w:rPr>
          <w:i/>
          <w:lang w:val="en-GB"/>
        </w:rPr>
        <w:t>paradeigma</w:t>
      </w:r>
      <w:r>
        <w:rPr>
          <w:lang w:val="en-GB"/>
        </w:rPr>
        <w:t xml:space="preserve"> is the mention of a past event because of its similarity with the subject matter (§ 31); the </w:t>
      </w:r>
      <w:r>
        <w:rPr>
          <w:i/>
          <w:lang w:val="en-GB"/>
        </w:rPr>
        <w:t>parabole</w:t>
      </w:r>
      <w:r>
        <w:rPr>
          <w:lang w:val="en-GB"/>
        </w:rPr>
        <w:t xml:space="preserve"> is the mention of a real and present event because of its similarity with the subject matter (§ 32) and the argument based on hypothesis is neither past nor present, but arises from an hypothesis made by the orator (§ 33)</w:t>
      </w:r>
      <w:r w:rsidR="00E740AF">
        <w:rPr>
          <w:lang w:val="en-GB"/>
        </w:rPr>
        <w:t>.</w:t>
      </w:r>
      <w:r>
        <w:rPr>
          <w:rStyle w:val="FootnoteCharacters"/>
        </w:rPr>
        <w:footnoteReference w:id="42"/>
      </w:r>
    </w:p>
    <w:p w:rsidR="00050E3E" w:rsidRDefault="00050E3E">
      <w:pPr>
        <w:spacing w:line="360" w:lineRule="auto"/>
        <w:jc w:val="both"/>
        <w:rPr>
          <w:lang w:val="en-GB"/>
        </w:rPr>
      </w:pPr>
      <w:r>
        <w:rPr>
          <w:lang w:val="en-GB"/>
        </w:rPr>
        <w:tab/>
        <w:t xml:space="preserve">In the </w:t>
      </w:r>
      <w:r w:rsidR="00E8793A">
        <w:rPr>
          <w:lang w:val="en-GB"/>
        </w:rPr>
        <w:t xml:space="preserve">treatise </w:t>
      </w:r>
      <w:r>
        <w:rPr>
          <w:lang w:val="en-GB"/>
        </w:rPr>
        <w:t xml:space="preserve">of Minucianus entitled </w:t>
      </w:r>
      <w:r>
        <w:rPr>
          <w:i/>
          <w:lang w:val="en-GB"/>
        </w:rPr>
        <w:t>On Epicheiremes</w:t>
      </w:r>
      <w:r>
        <w:rPr>
          <w:lang w:val="en-GB"/>
        </w:rPr>
        <w:t xml:space="preserve"> (</w:t>
      </w:r>
      <w:r>
        <w:rPr>
          <w:rFonts w:ascii="GR Times New Roman" w:hAnsi="GR Times New Roman" w:cs="GR Times New Roman"/>
          <w:lang w:val="el-GR"/>
        </w:rPr>
        <w:t>Περὶ</w:t>
      </w:r>
      <w:r>
        <w:rPr>
          <w:rFonts w:ascii="GR Times New Roman" w:hAnsi="GR Times New Roman" w:cs="GR Times New Roman"/>
          <w:lang w:val="en-GB"/>
        </w:rPr>
        <w:t xml:space="preserve"> </w:t>
      </w:r>
      <w:r>
        <w:rPr>
          <w:rFonts w:ascii="GR Times New Roman" w:hAnsi="GR Times New Roman" w:cs="GR Times New Roman"/>
          <w:lang w:val="el-GR"/>
        </w:rPr>
        <w:t>ἐπιχειρημάτων</w:t>
      </w:r>
      <w:r>
        <w:rPr>
          <w:lang w:val="en-GB"/>
        </w:rPr>
        <w:t xml:space="preserve">) or </w:t>
      </w:r>
      <w:r>
        <w:rPr>
          <w:i/>
          <w:lang w:val="en-GB"/>
        </w:rPr>
        <w:t>De argumentis</w:t>
      </w:r>
      <w:r>
        <w:rPr>
          <w:lang w:val="en-GB"/>
        </w:rPr>
        <w:t xml:space="preserve"> (3</w:t>
      </w:r>
      <w:r>
        <w:rPr>
          <w:vertAlign w:val="superscript"/>
          <w:lang w:val="en-GB"/>
        </w:rPr>
        <w:t>rd</w:t>
      </w:r>
      <w:r>
        <w:rPr>
          <w:lang w:val="en-GB"/>
        </w:rPr>
        <w:t xml:space="preserve"> century A</w:t>
      </w:r>
      <w:r w:rsidR="00CE1D71">
        <w:rPr>
          <w:lang w:val="en-GB"/>
        </w:rPr>
        <w:t>D</w:t>
      </w:r>
      <w:r>
        <w:rPr>
          <w:lang w:val="en-GB"/>
        </w:rPr>
        <w:t xml:space="preserve">) the author starts again from the Aristotelian division between artistic and non-artistic proofs and he classifies the first ones in ethical, pathetical and logical or pragmatic. The proofs are manifested in </w:t>
      </w:r>
      <w:r>
        <w:rPr>
          <w:i/>
          <w:lang w:val="en-GB"/>
        </w:rPr>
        <w:t>epicheiremata</w:t>
      </w:r>
      <w:r>
        <w:rPr>
          <w:lang w:val="en-GB"/>
        </w:rPr>
        <w:t xml:space="preserve">, which can be paradigmatic or enthymematic. And the paradigmatic </w:t>
      </w:r>
      <w:r>
        <w:rPr>
          <w:i/>
          <w:lang w:val="en-GB"/>
        </w:rPr>
        <w:t>epicheiremata</w:t>
      </w:r>
      <w:r>
        <w:rPr>
          <w:lang w:val="en-GB"/>
        </w:rPr>
        <w:t xml:space="preserve"> derive “from history and from a comparison of events which have already occurred” (</w:t>
      </w:r>
      <w:r>
        <w:rPr>
          <w:rFonts w:ascii="GR Times New Roman" w:hAnsi="GR Times New Roman" w:cs="GR Times New Roman"/>
          <w:lang w:val="el-GR"/>
        </w:rPr>
        <w:t>παραδειγματικὰ</w:t>
      </w:r>
      <w:r>
        <w:rPr>
          <w:rFonts w:ascii="GR Times New Roman" w:hAnsi="GR Times New Roman" w:cs="GR Times New Roman"/>
          <w:lang w:val="en-GB"/>
        </w:rPr>
        <w:t xml:space="preserve"> </w:t>
      </w:r>
      <w:r>
        <w:rPr>
          <w:rFonts w:ascii="GR Times New Roman" w:hAnsi="GR Times New Roman" w:cs="GR Times New Roman"/>
          <w:lang w:val="el-GR"/>
        </w:rPr>
        <w:t>μὲν</w:t>
      </w:r>
      <w:r>
        <w:rPr>
          <w:rFonts w:ascii="GR Times New Roman" w:hAnsi="GR Times New Roman" w:cs="GR Times New Roman"/>
          <w:lang w:val="en-GB"/>
        </w:rPr>
        <w:t xml:space="preserve"> </w:t>
      </w:r>
      <w:r>
        <w:rPr>
          <w:rFonts w:ascii="GR Times New Roman" w:hAnsi="GR Times New Roman" w:cs="GR Times New Roman"/>
          <w:lang w:val="el-GR"/>
        </w:rPr>
        <w:t>ὅσα</w:t>
      </w:r>
      <w:r>
        <w:rPr>
          <w:rFonts w:ascii="GR Times New Roman" w:hAnsi="GR Times New Roman" w:cs="GR Times New Roman"/>
          <w:lang w:val="en-GB"/>
        </w:rPr>
        <w:t xml:space="preserve"> </w:t>
      </w:r>
      <w:r>
        <w:rPr>
          <w:rFonts w:ascii="GR Times New Roman" w:hAnsi="GR Times New Roman" w:cs="GR Times New Roman"/>
          <w:lang w:val="el-GR"/>
        </w:rPr>
        <w:t>ἐξ</w:t>
      </w:r>
      <w:r>
        <w:rPr>
          <w:rFonts w:ascii="GR Times New Roman" w:hAnsi="GR Times New Roman" w:cs="GR Times New Roman"/>
          <w:lang w:val="en-GB"/>
        </w:rPr>
        <w:t xml:space="preserve"> </w:t>
      </w:r>
      <w:r>
        <w:rPr>
          <w:rFonts w:ascii="GR Times New Roman" w:hAnsi="GR Times New Roman" w:cs="GR Times New Roman"/>
          <w:lang w:val="el-GR"/>
        </w:rPr>
        <w:t>ἱστορίας</w:t>
      </w:r>
      <w:r>
        <w:rPr>
          <w:rFonts w:ascii="GR Times New Roman" w:hAnsi="GR Times New Roman" w:cs="GR Times New Roman"/>
          <w:lang w:val="en-GB"/>
        </w:rPr>
        <w:t xml:space="preserve"> </w:t>
      </w:r>
      <w:r>
        <w:rPr>
          <w:rFonts w:ascii="GR Times New Roman" w:hAnsi="GR Times New Roman" w:cs="GR Times New Roman"/>
          <w:lang w:val="el-GR"/>
        </w:rPr>
        <w:t>καὶ</w:t>
      </w:r>
      <w:r>
        <w:rPr>
          <w:rFonts w:ascii="GR Times New Roman" w:hAnsi="GR Times New Roman" w:cs="GR Times New Roman"/>
          <w:lang w:val="en-GB"/>
        </w:rPr>
        <w:t xml:space="preserve"> </w:t>
      </w:r>
      <w:r>
        <w:rPr>
          <w:rFonts w:ascii="GR Times New Roman" w:hAnsi="GR Times New Roman" w:cs="GR Times New Roman"/>
          <w:lang w:val="el-GR"/>
        </w:rPr>
        <w:t>ὁμοιώσεως</w:t>
      </w:r>
      <w:r>
        <w:rPr>
          <w:rFonts w:ascii="GR Times New Roman" w:hAnsi="GR Times New Roman" w:cs="GR Times New Roman"/>
          <w:lang w:val="en-GB"/>
        </w:rPr>
        <w:t xml:space="preserve"> </w:t>
      </w:r>
      <w:r>
        <w:rPr>
          <w:rFonts w:ascii="GR Times New Roman" w:hAnsi="GR Times New Roman" w:cs="GR Times New Roman"/>
          <w:lang w:val="el-GR"/>
        </w:rPr>
        <w:t>τῶν</w:t>
      </w:r>
      <w:r>
        <w:rPr>
          <w:rFonts w:ascii="GR Times New Roman" w:hAnsi="GR Times New Roman" w:cs="GR Times New Roman"/>
          <w:lang w:val="en-GB"/>
        </w:rPr>
        <w:t xml:space="preserve"> </w:t>
      </w:r>
      <w:r>
        <w:rPr>
          <w:rFonts w:ascii="GR Times New Roman" w:hAnsi="GR Times New Roman" w:cs="GR Times New Roman"/>
          <w:lang w:val="el-GR"/>
        </w:rPr>
        <w:t>ἤδη</w:t>
      </w:r>
      <w:r>
        <w:rPr>
          <w:rFonts w:ascii="GR Times New Roman" w:hAnsi="GR Times New Roman" w:cs="GR Times New Roman"/>
          <w:lang w:val="en-GB"/>
        </w:rPr>
        <w:t xml:space="preserve"> </w:t>
      </w:r>
      <w:r>
        <w:rPr>
          <w:rFonts w:ascii="GR Times New Roman" w:hAnsi="GR Times New Roman" w:cs="GR Times New Roman"/>
          <w:lang w:val="el-GR"/>
        </w:rPr>
        <w:t>πεπραγμένων</w:t>
      </w:r>
      <w:r>
        <w:rPr>
          <w:rFonts w:ascii="GR Times New Roman" w:hAnsi="GR Times New Roman" w:cs="GR Times New Roman"/>
          <w:lang w:val="en-GB"/>
        </w:rPr>
        <w:t xml:space="preserve"> </w:t>
      </w:r>
      <w:r>
        <w:rPr>
          <w:rFonts w:ascii="GR Times New Roman" w:hAnsi="GR Times New Roman" w:cs="GR Times New Roman"/>
          <w:lang w:val="el-GR"/>
        </w:rPr>
        <w:t>λαμβάνομεν</w:t>
      </w:r>
      <w:r>
        <w:rPr>
          <w:lang w:val="en-GB"/>
        </w:rPr>
        <w:t xml:space="preserve">, </w:t>
      </w:r>
      <w:r>
        <w:rPr>
          <w:i/>
          <w:lang w:val="en-GB"/>
        </w:rPr>
        <w:t>Rh.Gr</w:t>
      </w:r>
      <w:r>
        <w:rPr>
          <w:lang w:val="en-GB"/>
        </w:rPr>
        <w:t>. I, 418.2-3 Spengel)</w:t>
      </w:r>
      <w:r w:rsidR="00E740AF">
        <w:rPr>
          <w:lang w:val="en-GB"/>
        </w:rPr>
        <w:t>.</w:t>
      </w:r>
      <w:r>
        <w:rPr>
          <w:rStyle w:val="FootnoteCharacters"/>
        </w:rPr>
        <w:footnoteReference w:id="43"/>
      </w:r>
      <w:r>
        <w:rPr>
          <w:lang w:val="en-GB"/>
        </w:rPr>
        <w:t xml:space="preserve"> Furthermore, in order to function examples have to be familiar to the listeners and appropriate to the subject matter (</w:t>
      </w:r>
      <w:r>
        <w:rPr>
          <w:i/>
          <w:lang w:val="en-GB"/>
        </w:rPr>
        <w:t>Rh.Gr</w:t>
      </w:r>
      <w:r>
        <w:rPr>
          <w:lang w:val="en-GB"/>
        </w:rPr>
        <w:t xml:space="preserve">. I 418.11-12 Spengel). However, at a later stage Minucianus also includes in the paradigmatic </w:t>
      </w:r>
      <w:r>
        <w:rPr>
          <w:i/>
          <w:lang w:val="en-GB"/>
        </w:rPr>
        <w:t>epicheiremata</w:t>
      </w:r>
      <w:r>
        <w:rPr>
          <w:lang w:val="en-GB"/>
        </w:rPr>
        <w:t xml:space="preserve"> the comparisons (</w:t>
      </w:r>
      <w:r>
        <w:rPr>
          <w:i/>
          <w:lang w:val="en-GB"/>
        </w:rPr>
        <w:t>parabolai</w:t>
      </w:r>
      <w:r>
        <w:rPr>
          <w:lang w:val="en-GB"/>
        </w:rPr>
        <w:t>) and the similes (</w:t>
      </w:r>
      <w:r>
        <w:rPr>
          <w:i/>
          <w:lang w:val="en-GB"/>
        </w:rPr>
        <w:t>eikones</w:t>
      </w:r>
      <w:r>
        <w:rPr>
          <w:lang w:val="en-GB"/>
        </w:rPr>
        <w:t>) (</w:t>
      </w:r>
      <w:r>
        <w:rPr>
          <w:rFonts w:ascii="GR Times New Roman" w:hAnsi="GR Times New Roman" w:cs="GR Times New Roman"/>
          <w:lang w:val="el-GR"/>
        </w:rPr>
        <w:t>τοῦ</w:t>
      </w:r>
      <w:r>
        <w:rPr>
          <w:rFonts w:ascii="GR Times New Roman" w:hAnsi="GR Times New Roman" w:cs="GR Times New Roman"/>
          <w:lang w:val="en-GB"/>
        </w:rPr>
        <w:t xml:space="preserve"> </w:t>
      </w:r>
      <w:r>
        <w:rPr>
          <w:rFonts w:ascii="GR Times New Roman" w:hAnsi="GR Times New Roman" w:cs="GR Times New Roman"/>
          <w:lang w:val="el-GR"/>
        </w:rPr>
        <w:t>παραδειγματικοῦ</w:t>
      </w:r>
      <w:r>
        <w:rPr>
          <w:rFonts w:ascii="GR Times New Roman" w:hAnsi="GR Times New Roman" w:cs="GR Times New Roman"/>
          <w:lang w:val="en-GB"/>
        </w:rPr>
        <w:t xml:space="preserve"> </w:t>
      </w:r>
      <w:r>
        <w:rPr>
          <w:rFonts w:ascii="GR Times New Roman" w:hAnsi="GR Times New Roman" w:cs="GR Times New Roman"/>
          <w:lang w:val="el-GR"/>
        </w:rPr>
        <w:t>εἴδους</w:t>
      </w:r>
      <w:r>
        <w:rPr>
          <w:rFonts w:ascii="GR Times New Roman" w:hAnsi="GR Times New Roman" w:cs="GR Times New Roman"/>
          <w:lang w:val="en-GB"/>
        </w:rPr>
        <w:t xml:space="preserve"> </w:t>
      </w:r>
      <w:r>
        <w:rPr>
          <w:rFonts w:ascii="GR Times New Roman" w:hAnsi="GR Times New Roman" w:cs="GR Times New Roman"/>
          <w:lang w:val="el-GR"/>
        </w:rPr>
        <w:t>εἰσὶ</w:t>
      </w:r>
      <w:r>
        <w:rPr>
          <w:rFonts w:ascii="GR Times New Roman" w:hAnsi="GR Times New Roman" w:cs="GR Times New Roman"/>
          <w:lang w:val="en-GB"/>
        </w:rPr>
        <w:t xml:space="preserve"> </w:t>
      </w:r>
      <w:r>
        <w:rPr>
          <w:rFonts w:ascii="GR Times New Roman" w:hAnsi="GR Times New Roman" w:cs="GR Times New Roman"/>
          <w:lang w:val="el-GR"/>
        </w:rPr>
        <w:t>καὶ</w:t>
      </w:r>
      <w:r>
        <w:rPr>
          <w:rFonts w:ascii="GR Times New Roman" w:hAnsi="GR Times New Roman" w:cs="GR Times New Roman"/>
          <w:lang w:val="en-GB"/>
        </w:rPr>
        <w:t xml:space="preserve"> </w:t>
      </w:r>
      <w:r>
        <w:rPr>
          <w:rFonts w:ascii="GR Times New Roman" w:hAnsi="GR Times New Roman" w:cs="GR Times New Roman"/>
          <w:lang w:val="el-GR"/>
        </w:rPr>
        <w:t>αἱ</w:t>
      </w:r>
      <w:r>
        <w:rPr>
          <w:rFonts w:ascii="GR Times New Roman" w:hAnsi="GR Times New Roman" w:cs="GR Times New Roman"/>
          <w:lang w:val="en-GB"/>
        </w:rPr>
        <w:t xml:space="preserve"> </w:t>
      </w:r>
      <w:r>
        <w:rPr>
          <w:rFonts w:ascii="GR Times New Roman" w:hAnsi="GR Times New Roman" w:cs="GR Times New Roman"/>
          <w:lang w:val="el-GR"/>
        </w:rPr>
        <w:t>καλούμεναι</w:t>
      </w:r>
      <w:r>
        <w:rPr>
          <w:rFonts w:ascii="GR Times New Roman" w:hAnsi="GR Times New Roman" w:cs="GR Times New Roman"/>
          <w:lang w:val="en-GB"/>
        </w:rPr>
        <w:t xml:space="preserve"> </w:t>
      </w:r>
      <w:r>
        <w:rPr>
          <w:rFonts w:ascii="GR Times New Roman" w:hAnsi="GR Times New Roman" w:cs="GR Times New Roman"/>
          <w:lang w:val="el-GR"/>
        </w:rPr>
        <w:t>παραβολαὶ</w:t>
      </w:r>
      <w:r>
        <w:rPr>
          <w:rFonts w:ascii="GR Times New Roman" w:hAnsi="GR Times New Roman" w:cs="GR Times New Roman"/>
          <w:lang w:val="en-GB"/>
        </w:rPr>
        <w:t xml:space="preserve"> </w:t>
      </w:r>
      <w:r>
        <w:rPr>
          <w:rFonts w:ascii="GR Times New Roman" w:hAnsi="GR Times New Roman" w:cs="GR Times New Roman"/>
          <w:lang w:val="el-GR"/>
        </w:rPr>
        <w:t>καὶ</w:t>
      </w:r>
      <w:r>
        <w:rPr>
          <w:rFonts w:ascii="GR Times New Roman" w:hAnsi="GR Times New Roman" w:cs="GR Times New Roman"/>
          <w:lang w:val="en-GB"/>
        </w:rPr>
        <w:t xml:space="preserve"> </w:t>
      </w:r>
      <w:r>
        <w:rPr>
          <w:rFonts w:ascii="GR Times New Roman" w:hAnsi="GR Times New Roman" w:cs="GR Times New Roman"/>
          <w:lang w:val="el-GR"/>
        </w:rPr>
        <w:t>αἱ</w:t>
      </w:r>
      <w:r>
        <w:rPr>
          <w:rFonts w:ascii="GR Times New Roman" w:hAnsi="GR Times New Roman" w:cs="GR Times New Roman"/>
          <w:lang w:val="en-GB"/>
        </w:rPr>
        <w:t xml:space="preserve"> </w:t>
      </w:r>
      <w:r>
        <w:rPr>
          <w:rFonts w:ascii="GR Times New Roman" w:hAnsi="GR Times New Roman" w:cs="GR Times New Roman"/>
          <w:lang w:val="el-GR"/>
        </w:rPr>
        <w:t>εἰκόνες</w:t>
      </w:r>
      <w:r>
        <w:rPr>
          <w:lang w:val="en-GB"/>
        </w:rPr>
        <w:t xml:space="preserve">, </w:t>
      </w:r>
      <w:r>
        <w:rPr>
          <w:i/>
          <w:lang w:val="en-GB"/>
        </w:rPr>
        <w:t>Rh.Gr</w:t>
      </w:r>
      <w:r>
        <w:rPr>
          <w:lang w:val="en-GB"/>
        </w:rPr>
        <w:t xml:space="preserve">. I 418.28-29 Spengel). The difference between the </w:t>
      </w:r>
      <w:r>
        <w:rPr>
          <w:i/>
          <w:lang w:val="en-GB"/>
        </w:rPr>
        <w:t>paradeigma</w:t>
      </w:r>
      <w:r>
        <w:rPr>
          <w:lang w:val="en-GB"/>
        </w:rPr>
        <w:t xml:space="preserve"> and the </w:t>
      </w:r>
      <w:r>
        <w:rPr>
          <w:i/>
          <w:lang w:val="en-GB"/>
        </w:rPr>
        <w:t>parabole</w:t>
      </w:r>
      <w:r>
        <w:rPr>
          <w:lang w:val="en-GB"/>
        </w:rPr>
        <w:t xml:space="preserve"> is that </w:t>
      </w:r>
      <w:r>
        <w:rPr>
          <w:i/>
          <w:lang w:val="en-GB"/>
        </w:rPr>
        <w:t>paradeigma</w:t>
      </w:r>
      <w:r>
        <w:rPr>
          <w:lang w:val="en-GB"/>
        </w:rPr>
        <w:t xml:space="preserve"> is taken from history and </w:t>
      </w:r>
      <w:r>
        <w:rPr>
          <w:i/>
          <w:lang w:val="en-GB"/>
        </w:rPr>
        <w:t>parabole</w:t>
      </w:r>
      <w:r>
        <w:rPr>
          <w:lang w:val="en-GB"/>
        </w:rPr>
        <w:t xml:space="preserve"> arises from events that may have happened in an undetermined moment, but without reference to history (</w:t>
      </w:r>
      <w:r>
        <w:rPr>
          <w:i/>
          <w:lang w:val="en-GB"/>
        </w:rPr>
        <w:t>Rh.Gr</w:t>
      </w:r>
      <w:r>
        <w:rPr>
          <w:lang w:val="en-GB"/>
        </w:rPr>
        <w:t>. I 418.29-32 Spengel), a difference that coincides with that established by Aristotle. For its part, the simile (</w:t>
      </w:r>
      <w:r>
        <w:rPr>
          <w:i/>
          <w:lang w:val="en-GB"/>
        </w:rPr>
        <w:t>eikon</w:t>
      </w:r>
      <w:r>
        <w:rPr>
          <w:lang w:val="en-GB"/>
        </w:rPr>
        <w:t xml:space="preserve">) is similar to the </w:t>
      </w:r>
      <w:r>
        <w:rPr>
          <w:i/>
          <w:lang w:val="en-GB"/>
        </w:rPr>
        <w:t>parabole</w:t>
      </w:r>
      <w:r>
        <w:rPr>
          <w:lang w:val="en-GB"/>
        </w:rPr>
        <w:t>, but it makes the speech more vivid, so that the listener thinks he sees it (</w:t>
      </w:r>
      <w:r>
        <w:rPr>
          <w:i/>
          <w:lang w:val="en-GB"/>
        </w:rPr>
        <w:t>Rh.Gr</w:t>
      </w:r>
      <w:r>
        <w:rPr>
          <w:lang w:val="en-GB"/>
        </w:rPr>
        <w:t xml:space="preserve">. I 419.2-4 Spengel). This implies an interpretation of </w:t>
      </w:r>
      <w:r>
        <w:rPr>
          <w:i/>
          <w:lang w:val="en-GB"/>
        </w:rPr>
        <w:t>eikon</w:t>
      </w:r>
      <w:r>
        <w:rPr>
          <w:lang w:val="en-GB"/>
        </w:rPr>
        <w:t xml:space="preserve"> as a stylistic similarity, something close to that which can be found in Aristotle, where </w:t>
      </w:r>
      <w:r>
        <w:rPr>
          <w:rFonts w:ascii="GR Times New Roman" w:hAnsi="GR Times New Roman" w:cs="GR Times New Roman"/>
        </w:rPr>
        <w:t>εἰκών</w:t>
      </w:r>
      <w:r>
        <w:rPr>
          <w:lang w:val="en-GB"/>
        </w:rPr>
        <w:t xml:space="preserve"> designates the comparison as an aesthetic resource and is a type of metaphor, while the </w:t>
      </w:r>
      <w:r>
        <w:rPr>
          <w:lang w:val="el-GR"/>
        </w:rPr>
        <w:t>π</w:t>
      </w:r>
      <w:r>
        <w:rPr>
          <w:rFonts w:ascii="GR Times New Roman" w:hAnsi="GR Times New Roman" w:cs="GR Times New Roman"/>
          <w:lang w:val="el-GR"/>
        </w:rPr>
        <w:t>αραβολή</w:t>
      </w:r>
      <w:r>
        <w:rPr>
          <w:lang w:val="en-GB"/>
        </w:rPr>
        <w:t xml:space="preserve"> makes reference to an argumentative resource and is a type of </w:t>
      </w:r>
      <w:r>
        <w:rPr>
          <w:rFonts w:ascii="GR Times New Roman" w:hAnsi="GR Times New Roman" w:cs="GR Times New Roman"/>
          <w:lang w:val="el-GR"/>
        </w:rPr>
        <w:t>παράδειγμα</w:t>
      </w:r>
      <w:r w:rsidR="00E740AF" w:rsidRPr="00E740AF">
        <w:rPr>
          <w:lang w:val="en-GB"/>
        </w:rPr>
        <w:t>.</w:t>
      </w:r>
      <w:r>
        <w:rPr>
          <w:rStyle w:val="FootnoteCharacters"/>
          <w:rFonts w:ascii="GR Times New Roman" w:hAnsi="GR Times New Roman" w:cs="GR Times New Roman"/>
          <w:lang w:val="el-GR"/>
        </w:rPr>
        <w:footnoteReference w:id="44"/>
      </w:r>
      <w:r>
        <w:rPr>
          <w:lang w:val="en-GB"/>
        </w:rPr>
        <w:t xml:space="preserve"> Nevertheless, according to Minucianus, inside the paradigmatic arguments the </w:t>
      </w:r>
      <w:r>
        <w:rPr>
          <w:i/>
          <w:lang w:val="en-GB"/>
        </w:rPr>
        <w:t>paradeigma</w:t>
      </w:r>
      <w:r>
        <w:rPr>
          <w:lang w:val="en-GB"/>
        </w:rPr>
        <w:t xml:space="preserve"> itself is included, </w:t>
      </w:r>
      <w:r w:rsidR="006D31F8">
        <w:rPr>
          <w:lang w:val="en-GB"/>
        </w:rPr>
        <w:t xml:space="preserve">along with </w:t>
      </w:r>
      <w:r>
        <w:rPr>
          <w:lang w:val="en-GB"/>
        </w:rPr>
        <w:t xml:space="preserve">the </w:t>
      </w:r>
      <w:r>
        <w:rPr>
          <w:i/>
          <w:lang w:val="en-GB"/>
        </w:rPr>
        <w:t>parabole</w:t>
      </w:r>
      <w:r>
        <w:rPr>
          <w:lang w:val="en-GB"/>
        </w:rPr>
        <w:t xml:space="preserve"> and the </w:t>
      </w:r>
      <w:r>
        <w:rPr>
          <w:i/>
          <w:lang w:val="en-GB"/>
        </w:rPr>
        <w:t>eikon</w:t>
      </w:r>
      <w:r>
        <w:rPr>
          <w:lang w:val="en-GB"/>
        </w:rPr>
        <w:t>. But Minucianus ends the section dedicated to the example adding that “Those stories which belong to fables are also in the class of examples” (</w:t>
      </w:r>
      <w:r>
        <w:rPr>
          <w:rFonts w:ascii="GR Times New Roman" w:hAnsi="GR Times New Roman" w:cs="GR Times New Roman"/>
          <w:lang w:val="el-GR"/>
        </w:rPr>
        <w:t>παραδειγματικὰ</w:t>
      </w:r>
      <w:r>
        <w:rPr>
          <w:rFonts w:ascii="GR Times New Roman" w:hAnsi="GR Times New Roman" w:cs="GR Times New Roman"/>
          <w:lang w:val="en-GB"/>
        </w:rPr>
        <w:t xml:space="preserve"> </w:t>
      </w:r>
      <w:r>
        <w:rPr>
          <w:rFonts w:ascii="GR Times New Roman" w:hAnsi="GR Times New Roman" w:cs="GR Times New Roman"/>
        </w:rPr>
        <w:t>δὲ</w:t>
      </w:r>
      <w:r>
        <w:rPr>
          <w:rFonts w:ascii="GR Times New Roman" w:hAnsi="GR Times New Roman" w:cs="GR Times New Roman"/>
          <w:lang w:val="en-GB"/>
        </w:rPr>
        <w:t xml:space="preserve"> </w:t>
      </w:r>
      <w:r>
        <w:rPr>
          <w:rFonts w:ascii="GR Times New Roman" w:hAnsi="GR Times New Roman" w:cs="GR Times New Roman"/>
        </w:rPr>
        <w:t>καὶ</w:t>
      </w:r>
      <w:r>
        <w:rPr>
          <w:rFonts w:ascii="GR Times New Roman" w:hAnsi="GR Times New Roman" w:cs="GR Times New Roman"/>
          <w:lang w:val="en-GB"/>
        </w:rPr>
        <w:t xml:space="preserve"> </w:t>
      </w:r>
      <w:r>
        <w:rPr>
          <w:rFonts w:ascii="GR Times New Roman" w:hAnsi="GR Times New Roman" w:cs="GR Times New Roman"/>
        </w:rPr>
        <w:t>ὅσα</w:t>
      </w:r>
      <w:r>
        <w:rPr>
          <w:rFonts w:ascii="GR Times New Roman" w:hAnsi="GR Times New Roman" w:cs="GR Times New Roman"/>
          <w:lang w:val="en-GB"/>
        </w:rPr>
        <w:t xml:space="preserve"> </w:t>
      </w:r>
      <w:r>
        <w:rPr>
          <w:rFonts w:ascii="GR Times New Roman" w:hAnsi="GR Times New Roman" w:cs="GR Times New Roman"/>
          <w:lang w:val="el-GR"/>
        </w:rPr>
        <w:t>εἰς</w:t>
      </w:r>
      <w:r>
        <w:rPr>
          <w:rFonts w:ascii="GR Times New Roman" w:hAnsi="GR Times New Roman" w:cs="GR Times New Roman"/>
          <w:lang w:val="en-GB"/>
        </w:rPr>
        <w:t xml:space="preserve"> </w:t>
      </w:r>
      <w:r>
        <w:rPr>
          <w:rFonts w:ascii="GR Times New Roman" w:hAnsi="GR Times New Roman" w:cs="GR Times New Roman"/>
          <w:lang w:val="el-GR"/>
        </w:rPr>
        <w:t>μύθους</w:t>
      </w:r>
      <w:r>
        <w:rPr>
          <w:rFonts w:ascii="GR Times New Roman" w:hAnsi="GR Times New Roman" w:cs="GR Times New Roman"/>
          <w:lang w:val="en-GB"/>
        </w:rPr>
        <w:t xml:space="preserve"> </w:t>
      </w:r>
      <w:r>
        <w:rPr>
          <w:rFonts w:ascii="GR Times New Roman" w:hAnsi="GR Times New Roman" w:cs="GR Times New Roman"/>
        </w:rPr>
        <w:t>ἀνήκει</w:t>
      </w:r>
      <w:r>
        <w:rPr>
          <w:lang w:val="en-GB"/>
        </w:rPr>
        <w:t xml:space="preserve">, </w:t>
      </w:r>
      <w:r>
        <w:rPr>
          <w:i/>
          <w:lang w:val="en-GB"/>
        </w:rPr>
        <w:t>Rh.Gr</w:t>
      </w:r>
      <w:r>
        <w:rPr>
          <w:lang w:val="en-GB"/>
        </w:rPr>
        <w:t xml:space="preserve">. I 419.10-11 Spengel), with which he seems to indicate that fictional stories too can be an example. So, Minucianus differentiates in the </w:t>
      </w:r>
      <w:r>
        <w:rPr>
          <w:i/>
          <w:lang w:val="en-GB"/>
        </w:rPr>
        <w:t>paradeigma</w:t>
      </w:r>
      <w:r>
        <w:rPr>
          <w:lang w:val="en-GB"/>
        </w:rPr>
        <w:t xml:space="preserve">, the historical example or </w:t>
      </w:r>
      <w:r>
        <w:rPr>
          <w:i/>
          <w:lang w:val="en-GB"/>
        </w:rPr>
        <w:t>paradeigma</w:t>
      </w:r>
      <w:r>
        <w:rPr>
          <w:lang w:val="en-GB"/>
        </w:rPr>
        <w:t xml:space="preserve">, the </w:t>
      </w:r>
      <w:r>
        <w:rPr>
          <w:i/>
          <w:lang w:val="en-GB"/>
        </w:rPr>
        <w:t>parabole</w:t>
      </w:r>
      <w:r>
        <w:rPr>
          <w:lang w:val="en-GB"/>
        </w:rPr>
        <w:t xml:space="preserve"> or comparison (the simile or </w:t>
      </w:r>
      <w:r>
        <w:rPr>
          <w:i/>
          <w:lang w:val="en-GB"/>
        </w:rPr>
        <w:t>eikon</w:t>
      </w:r>
      <w:r>
        <w:rPr>
          <w:lang w:val="en-GB"/>
        </w:rPr>
        <w:t xml:space="preserve"> is linked to this </w:t>
      </w:r>
      <w:r>
        <w:rPr>
          <w:i/>
          <w:lang w:val="en-GB"/>
        </w:rPr>
        <w:t>parabole</w:t>
      </w:r>
      <w:r>
        <w:rPr>
          <w:lang w:val="en-GB"/>
        </w:rPr>
        <w:t xml:space="preserve">) and the </w:t>
      </w:r>
      <w:r>
        <w:rPr>
          <w:i/>
          <w:lang w:val="en-GB"/>
        </w:rPr>
        <w:t>mythos</w:t>
      </w:r>
      <w:r>
        <w:rPr>
          <w:lang w:val="en-GB"/>
        </w:rPr>
        <w:t xml:space="preserve"> or fictional story, that Aristotle calls </w:t>
      </w:r>
      <w:r>
        <w:rPr>
          <w:i/>
          <w:lang w:val="en-GB"/>
        </w:rPr>
        <w:t>logos</w:t>
      </w:r>
      <w:r>
        <w:rPr>
          <w:lang w:val="en-GB"/>
        </w:rPr>
        <w:t>. In that way the Minucianus’ classification seems to integrate all the elements that are significant in the Aristotelian system concerning this matter</w:t>
      </w:r>
      <w:r w:rsidR="00E740AF">
        <w:rPr>
          <w:lang w:val="en-GB"/>
        </w:rPr>
        <w:t>.</w:t>
      </w:r>
      <w:r>
        <w:rPr>
          <w:rStyle w:val="FootnoteCharacters"/>
        </w:rPr>
        <w:footnoteReference w:id="45"/>
      </w:r>
    </w:p>
    <w:p w:rsidR="00050E3E" w:rsidRDefault="00050E3E">
      <w:pPr>
        <w:spacing w:line="360" w:lineRule="auto"/>
        <w:jc w:val="both"/>
        <w:rPr>
          <w:lang w:val="en-GB"/>
        </w:rPr>
      </w:pPr>
      <w:r>
        <w:rPr>
          <w:lang w:val="en-GB"/>
        </w:rPr>
        <w:tab/>
        <w:t xml:space="preserve">Therefore, these rhetors (the </w:t>
      </w:r>
      <w:r>
        <w:rPr>
          <w:i/>
          <w:lang w:val="en-GB"/>
        </w:rPr>
        <w:t>Anonymus Seguerianus</w:t>
      </w:r>
      <w:r>
        <w:rPr>
          <w:lang w:val="en-GB"/>
        </w:rPr>
        <w:t xml:space="preserve">, Apsines, Rufus or Minucianus) divide the proofs in the Aristotelian way between </w:t>
      </w:r>
      <w:r>
        <w:rPr>
          <w:i/>
          <w:lang w:val="en-GB"/>
        </w:rPr>
        <w:t>atechnoi</w:t>
      </w:r>
      <w:r>
        <w:rPr>
          <w:lang w:val="en-GB"/>
        </w:rPr>
        <w:t xml:space="preserve"> and </w:t>
      </w:r>
      <w:r>
        <w:rPr>
          <w:i/>
          <w:lang w:val="en-GB"/>
        </w:rPr>
        <w:t>entechnoi</w:t>
      </w:r>
      <w:r>
        <w:rPr>
          <w:lang w:val="en-GB"/>
        </w:rPr>
        <w:t xml:space="preserve"> </w:t>
      </w:r>
      <w:r>
        <w:rPr>
          <w:i/>
          <w:lang w:val="en-GB"/>
        </w:rPr>
        <w:t>pisteis</w:t>
      </w:r>
      <w:r>
        <w:rPr>
          <w:lang w:val="en-GB"/>
        </w:rPr>
        <w:t xml:space="preserve">, designate the logical proof as </w:t>
      </w:r>
      <w:r>
        <w:rPr>
          <w:i/>
          <w:lang w:val="en-GB"/>
        </w:rPr>
        <w:t>epicheirema</w:t>
      </w:r>
      <w:r>
        <w:rPr>
          <w:lang w:val="en-GB"/>
        </w:rPr>
        <w:t xml:space="preserve"> and they divide it into </w:t>
      </w:r>
      <w:r>
        <w:rPr>
          <w:i/>
          <w:lang w:val="en-GB"/>
        </w:rPr>
        <w:t>paradeigma</w:t>
      </w:r>
      <w:r>
        <w:rPr>
          <w:lang w:val="en-GB"/>
        </w:rPr>
        <w:t xml:space="preserve"> and enthymeme. For his part, Pseudo-Hermogenes in his treatise </w:t>
      </w:r>
      <w:r>
        <w:rPr>
          <w:i/>
          <w:lang w:val="en-GB"/>
        </w:rPr>
        <w:t>On invention</w:t>
      </w:r>
      <w:r>
        <w:rPr>
          <w:lang w:val="en-GB"/>
        </w:rPr>
        <w:t xml:space="preserve"> (</w:t>
      </w:r>
      <w:r>
        <w:rPr>
          <w:rFonts w:ascii="GR Times New Roman" w:hAnsi="GR Times New Roman" w:cs="GR Times New Roman"/>
          <w:lang w:val="el-GR"/>
        </w:rPr>
        <w:t>Περ</w:t>
      </w:r>
      <w:r>
        <w:rPr>
          <w:rFonts w:ascii="GR Times New Roman" w:hAnsi="GR Times New Roman" w:cs="GR Times New Roman"/>
        </w:rPr>
        <w:t>ὶ</w:t>
      </w:r>
      <w:r>
        <w:rPr>
          <w:rFonts w:ascii="GR Times New Roman" w:hAnsi="GR Times New Roman" w:cs="GR Times New Roman"/>
          <w:lang w:val="en-GB"/>
        </w:rPr>
        <w:t xml:space="preserve"> </w:t>
      </w:r>
      <w:r>
        <w:rPr>
          <w:rFonts w:ascii="GR Times New Roman" w:hAnsi="GR Times New Roman" w:cs="GR Times New Roman"/>
          <w:lang w:val="el-GR"/>
        </w:rPr>
        <w:t>εὑρέσεως</w:t>
      </w:r>
      <w:r>
        <w:rPr>
          <w:lang w:val="en-GB"/>
        </w:rPr>
        <w:t xml:space="preserve"> or </w:t>
      </w:r>
      <w:r>
        <w:rPr>
          <w:i/>
          <w:lang w:val="en-GB"/>
        </w:rPr>
        <w:t>De inventione</w:t>
      </w:r>
      <w:r>
        <w:rPr>
          <w:lang w:val="en-GB"/>
        </w:rPr>
        <w:t xml:space="preserve">) tries to relate the argumentation </w:t>
      </w:r>
      <w:r w:rsidR="006D31F8">
        <w:rPr>
          <w:lang w:val="en-GB"/>
        </w:rPr>
        <w:t xml:space="preserve">to </w:t>
      </w:r>
      <w:r>
        <w:rPr>
          <w:lang w:val="en-GB"/>
        </w:rPr>
        <w:t xml:space="preserve">the </w:t>
      </w:r>
      <w:r>
        <w:rPr>
          <w:i/>
          <w:lang w:val="en-GB"/>
        </w:rPr>
        <w:t>stasis</w:t>
      </w:r>
      <w:r>
        <w:rPr>
          <w:lang w:val="en-GB"/>
        </w:rPr>
        <w:t xml:space="preserve"> theory</w:t>
      </w:r>
      <w:r w:rsidR="00E869C9">
        <w:rPr>
          <w:rStyle w:val="Refdenotaalpie"/>
          <w:lang w:val="en-GB"/>
        </w:rPr>
        <w:footnoteReference w:id="46"/>
      </w:r>
      <w:r>
        <w:rPr>
          <w:lang w:val="en-GB"/>
        </w:rPr>
        <w:t xml:space="preserve">. This treatise, composed of four books, focuses on the </w:t>
      </w:r>
      <w:r>
        <w:rPr>
          <w:i/>
          <w:lang w:val="en-GB"/>
        </w:rPr>
        <w:t>inventio</w:t>
      </w:r>
      <w:r>
        <w:rPr>
          <w:lang w:val="en-GB"/>
        </w:rPr>
        <w:t>, but organi</w:t>
      </w:r>
      <w:r w:rsidR="006D31F8">
        <w:rPr>
          <w:lang w:val="en-GB"/>
        </w:rPr>
        <w:t>s</w:t>
      </w:r>
      <w:r>
        <w:rPr>
          <w:lang w:val="en-GB"/>
        </w:rPr>
        <w:t>es itself around the three parts or the speech (</w:t>
      </w:r>
      <w:r>
        <w:rPr>
          <w:i/>
          <w:lang w:val="en-GB"/>
        </w:rPr>
        <w:t>proo</w:t>
      </w:r>
      <w:r w:rsidR="004A7097">
        <w:rPr>
          <w:i/>
          <w:lang w:val="en-GB"/>
        </w:rPr>
        <w:t>i</w:t>
      </w:r>
      <w:r>
        <w:rPr>
          <w:i/>
          <w:lang w:val="en-GB"/>
        </w:rPr>
        <w:t>mion</w:t>
      </w:r>
      <w:r>
        <w:rPr>
          <w:lang w:val="en-GB"/>
        </w:rPr>
        <w:t xml:space="preserve"> or preamble, </w:t>
      </w:r>
      <w:r>
        <w:rPr>
          <w:i/>
          <w:lang w:val="en-GB"/>
        </w:rPr>
        <w:t>diegesis</w:t>
      </w:r>
      <w:r>
        <w:rPr>
          <w:lang w:val="en-GB"/>
        </w:rPr>
        <w:t xml:space="preserve"> or narrative and </w:t>
      </w:r>
      <w:r>
        <w:rPr>
          <w:i/>
          <w:lang w:val="en-GB"/>
        </w:rPr>
        <w:t>kataskeue</w:t>
      </w:r>
      <w:r>
        <w:rPr>
          <w:lang w:val="en-GB"/>
        </w:rPr>
        <w:t xml:space="preserve"> or confirmation of proofs) and dedicates the fourth book to </w:t>
      </w:r>
      <w:r w:rsidR="006D31F8">
        <w:rPr>
          <w:lang w:val="en-GB"/>
        </w:rPr>
        <w:t xml:space="preserve">issues of </w:t>
      </w:r>
      <w:r>
        <w:rPr>
          <w:lang w:val="en-GB"/>
        </w:rPr>
        <w:t xml:space="preserve">style. The beginning of the third book explains that the refutation of a point or </w:t>
      </w:r>
      <w:r>
        <w:rPr>
          <w:rFonts w:ascii="GR Times New Roman" w:hAnsi="GR Times New Roman" w:cs="GR Times New Roman"/>
          <w:lang w:val="el-GR"/>
        </w:rPr>
        <w:t>κεφάλαιον</w:t>
      </w:r>
      <w:r>
        <w:rPr>
          <w:rFonts w:ascii="GR Times New Roman" w:hAnsi="GR Times New Roman" w:cs="GR Times New Roman"/>
          <w:lang w:val="en-GB"/>
        </w:rPr>
        <w:t xml:space="preserve"> requires a </w:t>
      </w:r>
      <w:r>
        <w:rPr>
          <w:rFonts w:ascii="GR Times New Roman" w:hAnsi="GR Times New Roman" w:cs="GR Times New Roman"/>
          <w:lang w:val="el-GR"/>
        </w:rPr>
        <w:t>λύσις</w:t>
      </w:r>
      <w:r>
        <w:rPr>
          <w:lang w:val="en-GB"/>
        </w:rPr>
        <w:t xml:space="preserve">, supported by an </w:t>
      </w:r>
      <w:r>
        <w:rPr>
          <w:rFonts w:ascii="GR Times New Roman" w:hAnsi="GR Times New Roman" w:cs="GR Times New Roman"/>
          <w:lang w:val="en-GB"/>
        </w:rPr>
        <w:t>ἐπι</w:t>
      </w:r>
      <w:r>
        <w:rPr>
          <w:rFonts w:ascii="GR Times New Roman" w:hAnsi="GR Times New Roman" w:cs="GR Times New Roman"/>
          <w:lang w:val="el-GR"/>
        </w:rPr>
        <w:t>χείρημα</w:t>
      </w:r>
      <w:r>
        <w:rPr>
          <w:lang w:val="en-GB"/>
        </w:rPr>
        <w:t xml:space="preserve">, elaborated by an </w:t>
      </w:r>
      <w:r>
        <w:rPr>
          <w:rFonts w:ascii="GR Times New Roman" w:hAnsi="GR Times New Roman" w:cs="GR Times New Roman"/>
          <w:lang w:val="en-GB"/>
        </w:rPr>
        <w:t>ἐργασία</w:t>
      </w:r>
      <w:r>
        <w:rPr>
          <w:lang w:val="en-GB"/>
        </w:rPr>
        <w:t xml:space="preserve">, and it concludes with an </w:t>
      </w:r>
      <w:r>
        <w:rPr>
          <w:rFonts w:ascii="GR Times New Roman" w:hAnsi="GR Times New Roman" w:cs="GR Times New Roman"/>
          <w:lang w:val="en-GB"/>
        </w:rPr>
        <w:t>ἐνθύμημα</w:t>
      </w:r>
      <w:r>
        <w:rPr>
          <w:lang w:val="en-GB"/>
        </w:rPr>
        <w:t xml:space="preserve">. The </w:t>
      </w:r>
      <w:r>
        <w:rPr>
          <w:i/>
          <w:lang w:val="en-GB"/>
        </w:rPr>
        <w:t>ergasia</w:t>
      </w:r>
      <w:r>
        <w:rPr>
          <w:lang w:val="en-GB"/>
        </w:rPr>
        <w:t xml:space="preserve"> is, therefore, necessary for the confirmation of the </w:t>
      </w:r>
      <w:r>
        <w:rPr>
          <w:i/>
          <w:lang w:val="en-GB"/>
        </w:rPr>
        <w:t>epicheirema</w:t>
      </w:r>
      <w:r>
        <w:rPr>
          <w:lang w:val="en-GB"/>
        </w:rPr>
        <w:t xml:space="preserve"> and it derives from the comparison, the example, the lesser, the greater, the like and the contrary (</w:t>
      </w:r>
      <w:r>
        <w:rPr>
          <w:rFonts w:ascii="GR Times New Roman" w:hAnsi="GR Times New Roman" w:cs="GR Times New Roman"/>
        </w:rPr>
        <w:t>ἀπὸ</w:t>
      </w:r>
      <w:r>
        <w:rPr>
          <w:rFonts w:ascii="GR Times New Roman" w:hAnsi="GR Times New Roman" w:cs="GR Times New Roman"/>
          <w:lang w:val="en-GB"/>
        </w:rPr>
        <w:t xml:space="preserve"> </w:t>
      </w:r>
      <w:r>
        <w:rPr>
          <w:rFonts w:ascii="GR Times New Roman" w:hAnsi="GR Times New Roman" w:cs="GR Times New Roman"/>
        </w:rPr>
        <w:t>παραβολῆς</w:t>
      </w:r>
      <w:r>
        <w:rPr>
          <w:rFonts w:ascii="GR Times New Roman" w:hAnsi="GR Times New Roman" w:cs="GR Times New Roman"/>
          <w:lang w:val="en-GB"/>
        </w:rPr>
        <w:t xml:space="preserve">, </w:t>
      </w:r>
      <w:r>
        <w:rPr>
          <w:rFonts w:ascii="GR Times New Roman" w:hAnsi="GR Times New Roman" w:cs="GR Times New Roman"/>
        </w:rPr>
        <w:t>ἀπὸ</w:t>
      </w:r>
      <w:r>
        <w:rPr>
          <w:rFonts w:ascii="GR Times New Roman" w:hAnsi="GR Times New Roman" w:cs="GR Times New Roman"/>
          <w:lang w:val="en-GB"/>
        </w:rPr>
        <w:t xml:space="preserve"> </w:t>
      </w:r>
      <w:r>
        <w:rPr>
          <w:rFonts w:ascii="GR Times New Roman" w:hAnsi="GR Times New Roman" w:cs="GR Times New Roman"/>
          <w:lang w:val="el-GR"/>
        </w:rPr>
        <w:t>παραδείγματος</w:t>
      </w:r>
      <w:r>
        <w:rPr>
          <w:rFonts w:ascii="GR Times New Roman" w:hAnsi="GR Times New Roman" w:cs="GR Times New Roman"/>
          <w:lang w:val="en-GB"/>
        </w:rPr>
        <w:t xml:space="preserve">, </w:t>
      </w:r>
      <w:r>
        <w:rPr>
          <w:rFonts w:ascii="GR Times New Roman" w:hAnsi="GR Times New Roman" w:cs="GR Times New Roman"/>
          <w:lang w:val="el-GR"/>
        </w:rPr>
        <w:t>ἀπὸ</w:t>
      </w:r>
      <w:r>
        <w:rPr>
          <w:rFonts w:ascii="GR Times New Roman" w:hAnsi="GR Times New Roman" w:cs="GR Times New Roman"/>
          <w:lang w:val="en-GB"/>
        </w:rPr>
        <w:t xml:space="preserve"> </w:t>
      </w:r>
      <w:r>
        <w:rPr>
          <w:rFonts w:ascii="GR Times New Roman" w:hAnsi="GR Times New Roman" w:cs="GR Times New Roman"/>
          <w:lang w:val="el-GR"/>
        </w:rPr>
        <w:t>μικροτέρου</w:t>
      </w:r>
      <w:r>
        <w:rPr>
          <w:rFonts w:ascii="GR Times New Roman" w:hAnsi="GR Times New Roman" w:cs="GR Times New Roman"/>
          <w:lang w:val="en-GB"/>
        </w:rPr>
        <w:t xml:space="preserve">, </w:t>
      </w:r>
      <w:r>
        <w:rPr>
          <w:rFonts w:ascii="GR Times New Roman" w:hAnsi="GR Times New Roman" w:cs="GR Times New Roman"/>
          <w:lang w:val="el-GR"/>
        </w:rPr>
        <w:t>ἀπὸ</w:t>
      </w:r>
      <w:r>
        <w:rPr>
          <w:rFonts w:ascii="GR Times New Roman" w:hAnsi="GR Times New Roman" w:cs="GR Times New Roman"/>
          <w:lang w:val="en-GB"/>
        </w:rPr>
        <w:t xml:space="preserve"> </w:t>
      </w:r>
      <w:r>
        <w:rPr>
          <w:rFonts w:ascii="GR Times New Roman" w:hAnsi="GR Times New Roman" w:cs="GR Times New Roman"/>
          <w:lang w:val="el-GR"/>
        </w:rPr>
        <w:t>μείζονος</w:t>
      </w:r>
      <w:r>
        <w:rPr>
          <w:rFonts w:ascii="GR Times New Roman" w:hAnsi="GR Times New Roman" w:cs="GR Times New Roman"/>
          <w:lang w:val="en-GB"/>
        </w:rPr>
        <w:t xml:space="preserve">, </w:t>
      </w:r>
      <w:r>
        <w:rPr>
          <w:rFonts w:ascii="GR Times New Roman" w:hAnsi="GR Times New Roman" w:cs="GR Times New Roman"/>
          <w:lang w:val="el-GR"/>
        </w:rPr>
        <w:t>ἀπὸ</w:t>
      </w:r>
      <w:r>
        <w:rPr>
          <w:rFonts w:ascii="GR Times New Roman" w:hAnsi="GR Times New Roman" w:cs="GR Times New Roman"/>
          <w:lang w:val="en-GB"/>
        </w:rPr>
        <w:t xml:space="preserve"> </w:t>
      </w:r>
      <w:r>
        <w:rPr>
          <w:rFonts w:ascii="GR Times New Roman" w:hAnsi="GR Times New Roman" w:cs="GR Times New Roman"/>
        </w:rPr>
        <w:t>ἴσου</w:t>
      </w:r>
      <w:r>
        <w:rPr>
          <w:rFonts w:ascii="GR Times New Roman" w:hAnsi="GR Times New Roman" w:cs="GR Times New Roman"/>
          <w:lang w:val="en-GB"/>
        </w:rPr>
        <w:t xml:space="preserve">, </w:t>
      </w:r>
      <w:r>
        <w:rPr>
          <w:rFonts w:ascii="GR Times New Roman" w:hAnsi="GR Times New Roman" w:cs="GR Times New Roman"/>
        </w:rPr>
        <w:t>ἀπὸ</w:t>
      </w:r>
      <w:r>
        <w:rPr>
          <w:rFonts w:ascii="GR Times New Roman" w:hAnsi="GR Times New Roman" w:cs="GR Times New Roman"/>
          <w:lang w:val="en-GB"/>
        </w:rPr>
        <w:t xml:space="preserve"> </w:t>
      </w:r>
      <w:r>
        <w:rPr>
          <w:rFonts w:ascii="GR Times New Roman" w:hAnsi="GR Times New Roman" w:cs="GR Times New Roman"/>
        </w:rPr>
        <w:t>ἐναντίου</w:t>
      </w:r>
      <w:r w:rsidR="00CF4A5B">
        <w:rPr>
          <w:lang w:val="en-GB"/>
        </w:rPr>
        <w:t>, Rabe en Rabe and</w:t>
      </w:r>
      <w:r>
        <w:rPr>
          <w:lang w:val="en-GB"/>
        </w:rPr>
        <w:t xml:space="preserve"> Kennedy, p. 98.6-8). That is, the </w:t>
      </w:r>
      <w:r>
        <w:rPr>
          <w:i/>
          <w:lang w:val="en-GB"/>
        </w:rPr>
        <w:t>ergasia</w:t>
      </w:r>
      <w:r>
        <w:rPr>
          <w:lang w:val="en-GB"/>
        </w:rPr>
        <w:t xml:space="preserve"> is comparable to the </w:t>
      </w:r>
      <w:r>
        <w:rPr>
          <w:i/>
          <w:lang w:val="en-GB"/>
        </w:rPr>
        <w:t>paradeigma</w:t>
      </w:r>
      <w:r>
        <w:rPr>
          <w:lang w:val="en-GB"/>
        </w:rPr>
        <w:t>.</w:t>
      </w:r>
    </w:p>
    <w:p w:rsidR="00050E3E" w:rsidRDefault="00050E3E">
      <w:pPr>
        <w:spacing w:line="360" w:lineRule="auto"/>
        <w:jc w:val="both"/>
        <w:rPr>
          <w:lang w:val="en-GB"/>
        </w:rPr>
      </w:pPr>
      <w:r>
        <w:rPr>
          <w:lang w:val="en-GB"/>
        </w:rPr>
        <w:tab/>
      </w:r>
      <w:r w:rsidR="006D31F8">
        <w:rPr>
          <w:lang w:val="en-GB"/>
        </w:rPr>
        <w:t>However</w:t>
      </w:r>
      <w:r>
        <w:rPr>
          <w:lang w:val="en-GB"/>
        </w:rPr>
        <w:t xml:space="preserve">, the differentiation established in this treatise implies a re-elaboration of the classical theory. Aristotle affirms simply that the </w:t>
      </w:r>
      <w:r>
        <w:rPr>
          <w:i/>
          <w:lang w:val="en-GB"/>
        </w:rPr>
        <w:t>paradeigma</w:t>
      </w:r>
      <w:r>
        <w:rPr>
          <w:lang w:val="en-GB"/>
        </w:rPr>
        <w:t xml:space="preserve"> implies a relation of the similar to the similar (</w:t>
      </w:r>
      <w:r>
        <w:rPr>
          <w:i/>
          <w:lang w:val="en-GB"/>
        </w:rPr>
        <w:t>Rh</w:t>
      </w:r>
      <w:r>
        <w:rPr>
          <w:lang w:val="en-GB"/>
        </w:rPr>
        <w:t>. 1.2, 1357b28-30). Anaximenes, instead, mentions two types of relation when he differentiates between examples in line with the reasonable (</w:t>
      </w:r>
      <w:r>
        <w:rPr>
          <w:rFonts w:ascii="GR Times New Roman" w:hAnsi="GR Times New Roman" w:cs="GR Times New Roman"/>
          <w:lang w:val="el-GR"/>
        </w:rPr>
        <w:t>κατὰ</w:t>
      </w:r>
      <w:r>
        <w:rPr>
          <w:rFonts w:ascii="GR Times New Roman" w:hAnsi="GR Times New Roman" w:cs="GR Times New Roman"/>
          <w:lang w:val="en-GB"/>
        </w:rPr>
        <w:t xml:space="preserve"> </w:t>
      </w:r>
      <w:r>
        <w:rPr>
          <w:rFonts w:ascii="GR Times New Roman" w:hAnsi="GR Times New Roman" w:cs="GR Times New Roman"/>
          <w:lang w:val="el-GR"/>
        </w:rPr>
        <w:t>λόγον</w:t>
      </w:r>
      <w:r>
        <w:rPr>
          <w:lang w:val="en-GB"/>
        </w:rPr>
        <w:t>) and those contrary to the reasonable (</w:t>
      </w:r>
      <w:r>
        <w:rPr>
          <w:rFonts w:ascii="GR Times New Roman" w:hAnsi="GR Times New Roman" w:cs="GR Times New Roman"/>
          <w:lang w:val="el-GR"/>
        </w:rPr>
        <w:t>παρὰ</w:t>
      </w:r>
      <w:r>
        <w:rPr>
          <w:rFonts w:ascii="GR Times New Roman" w:hAnsi="GR Times New Roman" w:cs="GR Times New Roman"/>
          <w:lang w:val="en-GB"/>
        </w:rPr>
        <w:t xml:space="preserve"> </w:t>
      </w:r>
      <w:r>
        <w:rPr>
          <w:rFonts w:ascii="GR Times New Roman" w:hAnsi="GR Times New Roman" w:cs="GR Times New Roman"/>
          <w:lang w:val="el-GR"/>
        </w:rPr>
        <w:t>λόγον</w:t>
      </w:r>
      <w:r>
        <w:rPr>
          <w:lang w:val="en-GB"/>
        </w:rPr>
        <w:t>) (</w:t>
      </w:r>
      <w:r>
        <w:rPr>
          <w:i/>
          <w:lang w:val="en-GB"/>
        </w:rPr>
        <w:t>Rh.Al</w:t>
      </w:r>
      <w:r>
        <w:rPr>
          <w:lang w:val="en-GB"/>
        </w:rPr>
        <w:t xml:space="preserve">. 8.2, 1429a27-29). In the Late period, </w:t>
      </w:r>
      <w:r w:rsidR="006D31F8">
        <w:rPr>
          <w:lang w:val="en-GB"/>
        </w:rPr>
        <w:t>however</w:t>
      </w:r>
      <w:r>
        <w:rPr>
          <w:lang w:val="en-GB"/>
        </w:rPr>
        <w:t xml:space="preserve">, Apsines says that the </w:t>
      </w:r>
      <w:r>
        <w:rPr>
          <w:i/>
          <w:lang w:val="en-GB"/>
        </w:rPr>
        <w:t>paradeigma</w:t>
      </w:r>
      <w:r>
        <w:rPr>
          <w:lang w:val="en-GB"/>
        </w:rPr>
        <w:t xml:space="preserve"> is “the strongest thing in speaking” (</w:t>
      </w:r>
      <w:r>
        <w:rPr>
          <w:rFonts w:ascii="GR Times New Roman" w:hAnsi="GR Times New Roman" w:cs="GR Times New Roman"/>
        </w:rPr>
        <w:t>ἰσχυρότατον</w:t>
      </w:r>
      <w:r>
        <w:rPr>
          <w:rFonts w:ascii="GR Times New Roman" w:hAnsi="GR Times New Roman" w:cs="GR Times New Roman"/>
          <w:lang w:val="en-GB"/>
        </w:rPr>
        <w:t xml:space="preserve"> </w:t>
      </w:r>
      <w:r>
        <w:rPr>
          <w:rFonts w:ascii="GR Times New Roman" w:hAnsi="GR Times New Roman" w:cs="GR Times New Roman"/>
        </w:rPr>
        <w:t>ἐν</w:t>
      </w:r>
      <w:r>
        <w:rPr>
          <w:rFonts w:ascii="GR Times New Roman" w:hAnsi="GR Times New Roman" w:cs="GR Times New Roman"/>
          <w:lang w:val="en-GB"/>
        </w:rPr>
        <w:t xml:space="preserve"> </w:t>
      </w:r>
      <w:r>
        <w:rPr>
          <w:rFonts w:ascii="GR Times New Roman" w:hAnsi="GR Times New Roman" w:cs="GR Times New Roman"/>
        </w:rPr>
        <w:t>λόγῳ</w:t>
      </w:r>
      <w:r>
        <w:rPr>
          <w:lang w:val="en-GB"/>
        </w:rPr>
        <w:t>) and that it can derive “from like, from contrary, from greater, from lesser” (</w:t>
      </w:r>
      <w:r>
        <w:rPr>
          <w:rFonts w:ascii="GR Times New Roman" w:hAnsi="GR Times New Roman" w:cs="GR Times New Roman"/>
          <w:lang w:val="en-GB"/>
        </w:rPr>
        <w:t>ἀπὸ ὁμοίου, ἀπ’ ἐναντίου, ἀπὸ μείζονος, ἀπ’ ἐλάττονος</w:t>
      </w:r>
      <w:r>
        <w:rPr>
          <w:lang w:val="en-GB"/>
        </w:rPr>
        <w:t xml:space="preserve">, § 6.8). </w:t>
      </w:r>
      <w:r>
        <w:rPr>
          <w:lang w:val="el-GR"/>
        </w:rPr>
        <w:t>Β</w:t>
      </w:r>
      <w:r>
        <w:rPr>
          <w:lang w:val="en-GB"/>
        </w:rPr>
        <w:t>eing “the strongest thing” is odd, because in Aristotle it seems that the probationary strength of the enthymeme is considered superior</w:t>
      </w:r>
      <w:r w:rsidR="00E740AF">
        <w:rPr>
          <w:lang w:val="en-GB"/>
        </w:rPr>
        <w:t>.</w:t>
      </w:r>
      <w:r>
        <w:rPr>
          <w:rStyle w:val="FootnoteCharacters"/>
        </w:rPr>
        <w:footnoteReference w:id="47"/>
      </w:r>
      <w:r>
        <w:rPr>
          <w:lang w:val="en-GB"/>
        </w:rPr>
        <w:t xml:space="preserve"> On the other hand, the classification of Apsines, as well as that offered by Pseudo-Hermogenes, takes into account a higher type of relation between </w:t>
      </w:r>
      <w:r>
        <w:rPr>
          <w:i/>
          <w:lang w:val="en-GB"/>
        </w:rPr>
        <w:t>illustrans</w:t>
      </w:r>
      <w:r>
        <w:rPr>
          <w:lang w:val="en-GB"/>
        </w:rPr>
        <w:t xml:space="preserve"> and </w:t>
      </w:r>
      <w:r>
        <w:rPr>
          <w:i/>
          <w:lang w:val="en-GB"/>
        </w:rPr>
        <w:t>illustrandum</w:t>
      </w:r>
      <w:r>
        <w:rPr>
          <w:lang w:val="en-GB"/>
        </w:rPr>
        <w:t>.</w:t>
      </w:r>
    </w:p>
    <w:p w:rsidR="00050E3E" w:rsidRPr="00F84F26" w:rsidRDefault="00050E3E">
      <w:pPr>
        <w:spacing w:line="360" w:lineRule="auto"/>
        <w:jc w:val="both"/>
        <w:rPr>
          <w:lang w:val="en-GB"/>
        </w:rPr>
      </w:pPr>
      <w:r>
        <w:rPr>
          <w:lang w:val="en-GB"/>
        </w:rPr>
        <w:tab/>
        <w:t xml:space="preserve">Nevertheless, although the system created in the </w:t>
      </w:r>
      <w:r w:rsidR="00E8793A">
        <w:rPr>
          <w:lang w:val="en-GB"/>
        </w:rPr>
        <w:t xml:space="preserve">treatise </w:t>
      </w:r>
      <w:r>
        <w:rPr>
          <w:lang w:val="en-GB"/>
        </w:rPr>
        <w:t xml:space="preserve">of Pseudo-Hermogenes is different, the </w:t>
      </w:r>
      <w:r>
        <w:rPr>
          <w:i/>
          <w:lang w:val="en-GB"/>
        </w:rPr>
        <w:t>epicheirema</w:t>
      </w:r>
      <w:r>
        <w:rPr>
          <w:lang w:val="en-GB"/>
        </w:rPr>
        <w:t xml:space="preserve"> depends on the </w:t>
      </w:r>
      <w:r>
        <w:rPr>
          <w:i/>
          <w:lang w:val="en-GB"/>
        </w:rPr>
        <w:t>ergasia</w:t>
      </w:r>
      <w:r>
        <w:rPr>
          <w:lang w:val="en-GB"/>
        </w:rPr>
        <w:t xml:space="preserve"> and the enthymeme, and the </w:t>
      </w:r>
      <w:r>
        <w:rPr>
          <w:i/>
          <w:lang w:val="en-GB"/>
        </w:rPr>
        <w:t>ergasia</w:t>
      </w:r>
      <w:r>
        <w:rPr>
          <w:lang w:val="en-GB"/>
        </w:rPr>
        <w:t xml:space="preserve"> in turn is based on a relation of similarity and includes as main forms the </w:t>
      </w:r>
      <w:r>
        <w:rPr>
          <w:i/>
          <w:lang w:val="en-GB"/>
        </w:rPr>
        <w:t>paradeigma</w:t>
      </w:r>
      <w:r>
        <w:rPr>
          <w:lang w:val="en-GB"/>
        </w:rPr>
        <w:t xml:space="preserve"> and the </w:t>
      </w:r>
      <w:r>
        <w:rPr>
          <w:i/>
          <w:lang w:val="en-GB"/>
        </w:rPr>
        <w:t>parabole</w:t>
      </w:r>
      <w:r>
        <w:rPr>
          <w:lang w:val="en-GB"/>
        </w:rPr>
        <w:t>, so that the Aristotelian scheme is still maintained to a large extent.</w:t>
      </w:r>
    </w:p>
    <w:p w:rsidR="00050E3E" w:rsidRPr="00F84F26" w:rsidRDefault="00050E3E">
      <w:pPr>
        <w:spacing w:line="360" w:lineRule="auto"/>
        <w:jc w:val="both"/>
        <w:rPr>
          <w:lang w:val="en-GB"/>
        </w:rPr>
      </w:pPr>
    </w:p>
    <w:p w:rsidR="00050E3E" w:rsidRDefault="00050E3E">
      <w:pPr>
        <w:spacing w:line="360" w:lineRule="auto"/>
        <w:jc w:val="both"/>
        <w:rPr>
          <w:lang w:val="en-GB"/>
        </w:rPr>
      </w:pPr>
      <w:r>
        <w:rPr>
          <w:lang w:val="en-GB"/>
        </w:rPr>
        <w:t>T</w:t>
      </w:r>
      <w:r>
        <w:rPr>
          <w:smallCaps/>
          <w:lang w:val="en-GB"/>
        </w:rPr>
        <w:t xml:space="preserve">he </w:t>
      </w:r>
      <w:r>
        <w:rPr>
          <w:i/>
          <w:smallCaps/>
          <w:lang w:val="en-GB"/>
        </w:rPr>
        <w:t>paradeigma</w:t>
      </w:r>
      <w:r>
        <w:rPr>
          <w:smallCaps/>
          <w:lang w:val="en-GB"/>
        </w:rPr>
        <w:t xml:space="preserve"> in the </w:t>
      </w:r>
      <w:r>
        <w:rPr>
          <w:i/>
          <w:smallCaps/>
          <w:lang w:val="en-GB"/>
        </w:rPr>
        <w:t>progymnasmata</w:t>
      </w:r>
    </w:p>
    <w:p w:rsidR="00050E3E" w:rsidRDefault="00050E3E">
      <w:pPr>
        <w:spacing w:line="360" w:lineRule="auto"/>
        <w:jc w:val="both"/>
        <w:rPr>
          <w:lang w:val="en-GB"/>
        </w:rPr>
      </w:pPr>
      <w:r>
        <w:rPr>
          <w:lang w:val="en-GB"/>
        </w:rPr>
        <w:tab/>
        <w:t xml:space="preserve">As has been seen, many treatises include the </w:t>
      </w:r>
      <w:r>
        <w:rPr>
          <w:i/>
          <w:lang w:val="en-GB"/>
        </w:rPr>
        <w:t>paradeigma</w:t>
      </w:r>
      <w:r>
        <w:rPr>
          <w:lang w:val="en-GB"/>
        </w:rPr>
        <w:t xml:space="preserve"> in the treatment of argumentation. It is different, however, in the situation with the </w:t>
      </w:r>
      <w:r>
        <w:rPr>
          <w:i/>
          <w:lang w:val="en-GB"/>
        </w:rPr>
        <w:t>progymnasmata</w:t>
      </w:r>
      <w:r>
        <w:rPr>
          <w:lang w:val="en-GB"/>
        </w:rPr>
        <w:t xml:space="preserve">, where the scheme of proofs is not mentioned and the </w:t>
      </w:r>
      <w:r>
        <w:rPr>
          <w:i/>
          <w:lang w:val="en-GB"/>
        </w:rPr>
        <w:t>paradeigma</w:t>
      </w:r>
      <w:r>
        <w:rPr>
          <w:lang w:val="en-GB"/>
        </w:rPr>
        <w:t xml:space="preserve"> is hardly mentioned.</w:t>
      </w:r>
    </w:p>
    <w:p w:rsidR="00050E3E" w:rsidRDefault="00050E3E">
      <w:pPr>
        <w:spacing w:line="360" w:lineRule="auto"/>
        <w:ind w:firstLine="708"/>
        <w:jc w:val="both"/>
        <w:rPr>
          <w:lang w:val="en-GB"/>
        </w:rPr>
      </w:pPr>
      <w:r>
        <w:rPr>
          <w:lang w:val="en-GB"/>
        </w:rPr>
        <w:t xml:space="preserve">As has been explained, only the </w:t>
      </w:r>
      <w:r>
        <w:rPr>
          <w:i/>
          <w:lang w:val="en-GB"/>
        </w:rPr>
        <w:t>progymnasmata</w:t>
      </w:r>
      <w:r>
        <w:rPr>
          <w:lang w:val="en-GB"/>
        </w:rPr>
        <w:t xml:space="preserve"> of four authors have been preserved, namely Theon, Pseudo-Hermogenes, Aphthonius and Nicholas of Myra. Among all of them, the </w:t>
      </w:r>
      <w:r>
        <w:rPr>
          <w:i/>
          <w:lang w:val="en-GB"/>
        </w:rPr>
        <w:t>progymnasmata</w:t>
      </w:r>
      <w:r>
        <w:rPr>
          <w:lang w:val="en-GB"/>
        </w:rPr>
        <w:t xml:space="preserve"> of Aphthonius, which include fourteen exercises (</w:t>
      </w:r>
      <w:r>
        <w:rPr>
          <w:i/>
          <w:lang w:val="en-GB"/>
        </w:rPr>
        <w:t>mythos</w:t>
      </w:r>
      <w:r>
        <w:rPr>
          <w:lang w:val="en-GB"/>
        </w:rPr>
        <w:t xml:space="preserve">, </w:t>
      </w:r>
      <w:r>
        <w:rPr>
          <w:i/>
          <w:lang w:val="en-GB"/>
        </w:rPr>
        <w:t>diegema</w:t>
      </w:r>
      <w:r>
        <w:rPr>
          <w:lang w:val="en-GB"/>
        </w:rPr>
        <w:t xml:space="preserve">, </w:t>
      </w:r>
      <w:r>
        <w:rPr>
          <w:i/>
          <w:lang w:val="en-GB"/>
        </w:rPr>
        <w:t>chreia</w:t>
      </w:r>
      <w:r>
        <w:rPr>
          <w:lang w:val="en-GB"/>
        </w:rPr>
        <w:t xml:space="preserve">, </w:t>
      </w:r>
      <w:r>
        <w:rPr>
          <w:i/>
          <w:lang w:val="en-GB"/>
        </w:rPr>
        <w:t>gnome</w:t>
      </w:r>
      <w:r>
        <w:rPr>
          <w:lang w:val="en-GB"/>
        </w:rPr>
        <w:t xml:space="preserve">, </w:t>
      </w:r>
      <w:r>
        <w:rPr>
          <w:i/>
          <w:lang w:val="en-GB"/>
        </w:rPr>
        <w:t>anaskeue</w:t>
      </w:r>
      <w:r>
        <w:rPr>
          <w:lang w:val="en-GB"/>
        </w:rPr>
        <w:t xml:space="preserve">, </w:t>
      </w:r>
      <w:r>
        <w:rPr>
          <w:i/>
          <w:lang w:val="en-GB"/>
        </w:rPr>
        <w:t>kataskeue</w:t>
      </w:r>
      <w:r>
        <w:rPr>
          <w:lang w:val="en-GB"/>
        </w:rPr>
        <w:t xml:space="preserve">, </w:t>
      </w:r>
      <w:r>
        <w:rPr>
          <w:i/>
          <w:lang w:val="en-GB"/>
        </w:rPr>
        <w:t>koinos topos</w:t>
      </w:r>
      <w:r>
        <w:rPr>
          <w:lang w:val="en-GB"/>
        </w:rPr>
        <w:t xml:space="preserve">, </w:t>
      </w:r>
      <w:r>
        <w:rPr>
          <w:i/>
          <w:lang w:val="en-GB"/>
        </w:rPr>
        <w:t>enkomion</w:t>
      </w:r>
      <w:r>
        <w:rPr>
          <w:lang w:val="en-GB"/>
        </w:rPr>
        <w:t xml:space="preserve">, </w:t>
      </w:r>
      <w:r>
        <w:rPr>
          <w:i/>
          <w:lang w:val="en-GB"/>
        </w:rPr>
        <w:t>psogos</w:t>
      </w:r>
      <w:r>
        <w:rPr>
          <w:lang w:val="en-GB"/>
        </w:rPr>
        <w:t xml:space="preserve">, </w:t>
      </w:r>
      <w:r>
        <w:rPr>
          <w:i/>
          <w:lang w:val="en-GB"/>
        </w:rPr>
        <w:t>synkrisis</w:t>
      </w:r>
      <w:r>
        <w:rPr>
          <w:lang w:val="en-GB"/>
        </w:rPr>
        <w:t xml:space="preserve">, </w:t>
      </w:r>
      <w:r>
        <w:rPr>
          <w:i/>
          <w:lang w:val="en-GB"/>
        </w:rPr>
        <w:t>ethopoeia</w:t>
      </w:r>
      <w:r>
        <w:rPr>
          <w:lang w:val="en-GB"/>
        </w:rPr>
        <w:t xml:space="preserve">, </w:t>
      </w:r>
      <w:r>
        <w:rPr>
          <w:i/>
          <w:lang w:val="en-GB"/>
        </w:rPr>
        <w:t>ekphrasis</w:t>
      </w:r>
      <w:r>
        <w:rPr>
          <w:lang w:val="en-GB"/>
        </w:rPr>
        <w:t>,</w:t>
      </w:r>
      <w:r w:rsidR="00863D36">
        <w:rPr>
          <w:rStyle w:val="FootnoteCharacters"/>
        </w:rPr>
        <w:footnoteReference w:id="48"/>
      </w:r>
      <w:r>
        <w:rPr>
          <w:lang w:val="en-GB"/>
        </w:rPr>
        <w:t xml:space="preserve"> </w:t>
      </w:r>
      <w:r>
        <w:rPr>
          <w:i/>
          <w:lang w:val="en-GB"/>
        </w:rPr>
        <w:t>thesis</w:t>
      </w:r>
      <w:r w:rsidR="003E6EAF">
        <w:rPr>
          <w:lang w:val="en-GB"/>
        </w:rPr>
        <w:t xml:space="preserve"> and</w:t>
      </w:r>
      <w:r>
        <w:rPr>
          <w:lang w:val="en-GB"/>
        </w:rPr>
        <w:t xml:space="preserve"> </w:t>
      </w:r>
      <w:r>
        <w:rPr>
          <w:i/>
          <w:lang w:val="en-GB"/>
        </w:rPr>
        <w:t>nomou eisphora</w:t>
      </w:r>
      <w:r>
        <w:rPr>
          <w:lang w:val="en-GB"/>
        </w:rPr>
        <w:t xml:space="preserve">), became the prototype of the genre. Some of these exercises can be related to the </w:t>
      </w:r>
      <w:r>
        <w:rPr>
          <w:i/>
          <w:lang w:val="en-GB"/>
        </w:rPr>
        <w:t>paradeigma</w:t>
      </w:r>
      <w:r>
        <w:rPr>
          <w:lang w:val="en-GB"/>
        </w:rPr>
        <w:t xml:space="preserve">, although they are not designed as such. Concretely, narration, </w:t>
      </w:r>
      <w:r>
        <w:rPr>
          <w:i/>
          <w:lang w:val="en-GB"/>
        </w:rPr>
        <w:t>chreia</w:t>
      </w:r>
      <w:r>
        <w:rPr>
          <w:lang w:val="en-GB"/>
        </w:rPr>
        <w:t xml:space="preserve"> and comparison have been mentioned in that sense</w:t>
      </w:r>
      <w:r w:rsidR="00E740AF">
        <w:rPr>
          <w:lang w:val="en-GB"/>
        </w:rPr>
        <w:t>.</w:t>
      </w:r>
      <w:r>
        <w:rPr>
          <w:rStyle w:val="FootnoteCharacters"/>
        </w:rPr>
        <w:footnoteReference w:id="49"/>
      </w:r>
      <w:r>
        <w:rPr>
          <w:lang w:val="en-GB"/>
        </w:rPr>
        <w:t xml:space="preserve"> But in my opinion it would be more accurate to relate the </w:t>
      </w:r>
      <w:r>
        <w:rPr>
          <w:i/>
          <w:lang w:val="en-GB"/>
        </w:rPr>
        <w:t>paradeigma</w:t>
      </w:r>
      <w:r>
        <w:rPr>
          <w:lang w:val="en-GB"/>
        </w:rPr>
        <w:t xml:space="preserve"> </w:t>
      </w:r>
      <w:r w:rsidR="006D31F8">
        <w:rPr>
          <w:lang w:val="en-GB"/>
        </w:rPr>
        <w:t xml:space="preserve">to </w:t>
      </w:r>
      <w:r>
        <w:rPr>
          <w:lang w:val="en-GB"/>
        </w:rPr>
        <w:t>fable, narration and comparison.</w:t>
      </w:r>
    </w:p>
    <w:p w:rsidR="00050E3E" w:rsidRDefault="00050E3E">
      <w:pPr>
        <w:spacing w:line="360" w:lineRule="auto"/>
        <w:ind w:firstLine="708"/>
        <w:jc w:val="both"/>
        <w:rPr>
          <w:lang w:val="en-GB"/>
        </w:rPr>
      </w:pPr>
      <w:r>
        <w:rPr>
          <w:lang w:val="en-GB"/>
        </w:rPr>
        <w:t xml:space="preserve">The </w:t>
      </w:r>
      <w:r>
        <w:rPr>
          <w:i/>
          <w:lang w:val="en-GB"/>
        </w:rPr>
        <w:t>mythos</w:t>
      </w:r>
      <w:r>
        <w:rPr>
          <w:lang w:val="en-GB"/>
        </w:rPr>
        <w:t xml:space="preserve"> or fable is the first of the progymnasmatic exercises and it is defined as “a fictive statement, imaging truth” (</w:t>
      </w:r>
      <w:r>
        <w:rPr>
          <w:rFonts w:ascii="GR Times New Roman" w:hAnsi="GR Times New Roman" w:cs="GR Times New Roman"/>
          <w:lang w:val="el-GR"/>
        </w:rPr>
        <w:t>λ</w:t>
      </w:r>
      <w:r>
        <w:rPr>
          <w:rFonts w:ascii="GR Times New Roman" w:hAnsi="GR Times New Roman" w:cs="GR Times New Roman"/>
        </w:rPr>
        <w:t>ό</w:t>
      </w:r>
      <w:r>
        <w:rPr>
          <w:rFonts w:ascii="GR Times New Roman" w:hAnsi="GR Times New Roman" w:cs="GR Times New Roman"/>
          <w:lang w:val="el-GR"/>
        </w:rPr>
        <w:t>γος</w:t>
      </w:r>
      <w:r>
        <w:rPr>
          <w:rFonts w:ascii="GR Times New Roman" w:hAnsi="GR Times New Roman" w:cs="GR Times New Roman"/>
          <w:lang w:val="en-GB"/>
        </w:rPr>
        <w:t xml:space="preserve"> </w:t>
      </w:r>
      <w:r>
        <w:rPr>
          <w:rFonts w:ascii="GR Times New Roman" w:hAnsi="GR Times New Roman" w:cs="GR Times New Roman"/>
          <w:lang w:val="el-GR"/>
        </w:rPr>
        <w:t>ψευδὴς</w:t>
      </w:r>
      <w:r>
        <w:rPr>
          <w:rFonts w:ascii="GR Times New Roman" w:hAnsi="GR Times New Roman" w:cs="GR Times New Roman"/>
          <w:lang w:val="en-GB"/>
        </w:rPr>
        <w:t xml:space="preserve"> </w:t>
      </w:r>
      <w:r>
        <w:rPr>
          <w:rFonts w:ascii="GR Times New Roman" w:hAnsi="GR Times New Roman" w:cs="GR Times New Roman"/>
          <w:lang w:val="el-GR"/>
        </w:rPr>
        <w:t>εἰκονίζων</w:t>
      </w:r>
      <w:r>
        <w:rPr>
          <w:rFonts w:ascii="GR Times New Roman" w:hAnsi="GR Times New Roman" w:cs="GR Times New Roman"/>
          <w:lang w:val="en-GB"/>
        </w:rPr>
        <w:t xml:space="preserve"> </w:t>
      </w:r>
      <w:r>
        <w:rPr>
          <w:rFonts w:ascii="GR Times New Roman" w:hAnsi="GR Times New Roman" w:cs="GR Times New Roman"/>
          <w:lang w:val="el-GR"/>
        </w:rPr>
        <w:t>ἀλήθειαν</w:t>
      </w:r>
      <w:r>
        <w:rPr>
          <w:lang w:val="en-GB"/>
        </w:rPr>
        <w:t>; Aphthonius 1.1 Patillon)</w:t>
      </w:r>
      <w:r w:rsidR="00E740AF">
        <w:rPr>
          <w:lang w:val="en-GB"/>
        </w:rPr>
        <w:t>.</w:t>
      </w:r>
      <w:r>
        <w:rPr>
          <w:rStyle w:val="FootnoteCharacters"/>
        </w:rPr>
        <w:footnoteReference w:id="50"/>
      </w:r>
      <w:r>
        <w:rPr>
          <w:lang w:val="en-GB"/>
        </w:rPr>
        <w:t xml:space="preserve"> On his part, Theon (§ 73) claims that fable can receive different names: </w:t>
      </w:r>
      <w:r>
        <w:rPr>
          <w:i/>
          <w:lang w:val="en-GB"/>
        </w:rPr>
        <w:t>mythos</w:t>
      </w:r>
      <w:r>
        <w:rPr>
          <w:lang w:val="en-GB"/>
        </w:rPr>
        <w:t xml:space="preserve">, </w:t>
      </w:r>
      <w:r>
        <w:rPr>
          <w:i/>
          <w:lang w:val="en-GB"/>
        </w:rPr>
        <w:t>ainos</w:t>
      </w:r>
      <w:r>
        <w:rPr>
          <w:lang w:val="en-GB"/>
        </w:rPr>
        <w:t xml:space="preserve"> and </w:t>
      </w:r>
      <w:r>
        <w:rPr>
          <w:i/>
          <w:lang w:val="en-GB"/>
        </w:rPr>
        <w:t>logos</w:t>
      </w:r>
      <w:r>
        <w:rPr>
          <w:lang w:val="en-GB"/>
        </w:rPr>
        <w:t xml:space="preserve">. This last designation is the one used by Aristotle, who in his </w:t>
      </w:r>
      <w:r>
        <w:rPr>
          <w:i/>
          <w:lang w:val="en-GB"/>
        </w:rPr>
        <w:t>Rhetoric</w:t>
      </w:r>
      <w:r>
        <w:rPr>
          <w:lang w:val="en-GB"/>
        </w:rPr>
        <w:t xml:space="preserve"> considers that the fable or </w:t>
      </w:r>
      <w:r>
        <w:rPr>
          <w:i/>
          <w:lang w:val="en-GB"/>
        </w:rPr>
        <w:t>logos</w:t>
      </w:r>
      <w:r>
        <w:rPr>
          <w:lang w:val="en-GB"/>
        </w:rPr>
        <w:t xml:space="preserve"> is a type of fictional example (</w:t>
      </w:r>
      <w:r>
        <w:rPr>
          <w:i/>
          <w:lang w:val="en-GB"/>
        </w:rPr>
        <w:t>Rh</w:t>
      </w:r>
      <w:r>
        <w:rPr>
          <w:lang w:val="en-GB"/>
        </w:rPr>
        <w:t xml:space="preserve">. 2.20, 1393a28-31). Therefore, the </w:t>
      </w:r>
      <w:r>
        <w:rPr>
          <w:i/>
          <w:lang w:val="en-GB"/>
        </w:rPr>
        <w:t>progymnasmata</w:t>
      </w:r>
      <w:r>
        <w:rPr>
          <w:lang w:val="en-GB"/>
        </w:rPr>
        <w:t xml:space="preserve"> as well as Aristotle </w:t>
      </w:r>
      <w:r w:rsidR="006D31F8">
        <w:rPr>
          <w:lang w:val="en-GB"/>
        </w:rPr>
        <w:t xml:space="preserve">emphasise </w:t>
      </w:r>
      <w:r>
        <w:rPr>
          <w:lang w:val="en-GB"/>
        </w:rPr>
        <w:t xml:space="preserve">the fact that the fable is a fictive narrative, but Aristotle integrates it in his rhetorical construct through the example, while in the </w:t>
      </w:r>
      <w:r>
        <w:rPr>
          <w:i/>
          <w:lang w:val="en-GB"/>
        </w:rPr>
        <w:t>progymnasmata</w:t>
      </w:r>
      <w:r>
        <w:rPr>
          <w:lang w:val="en-GB"/>
        </w:rPr>
        <w:t xml:space="preserve"> the attention is focused primarily on </w:t>
      </w:r>
      <w:r w:rsidR="00653302">
        <w:rPr>
          <w:lang w:val="en-GB"/>
        </w:rPr>
        <w:t>its</w:t>
      </w:r>
      <w:r>
        <w:rPr>
          <w:lang w:val="en-GB"/>
        </w:rPr>
        <w:t xml:space="preserve"> composition</w:t>
      </w:r>
      <w:r w:rsidR="00E740AF">
        <w:rPr>
          <w:lang w:val="en-GB"/>
        </w:rPr>
        <w:t>.</w:t>
      </w:r>
      <w:r>
        <w:rPr>
          <w:rStyle w:val="FootnoteCharacters"/>
        </w:rPr>
        <w:footnoteReference w:id="51"/>
      </w:r>
    </w:p>
    <w:p w:rsidR="00050E3E" w:rsidRDefault="00050E3E">
      <w:pPr>
        <w:spacing w:line="360" w:lineRule="auto"/>
        <w:ind w:firstLine="708"/>
        <w:jc w:val="both"/>
        <w:rPr>
          <w:lang w:val="en-GB"/>
        </w:rPr>
      </w:pPr>
      <w:r>
        <w:rPr>
          <w:lang w:val="en-GB"/>
        </w:rPr>
        <w:t>Yet the fable functions as an illustration of a moral</w:t>
      </w:r>
      <w:r w:rsidR="007F2473">
        <w:rPr>
          <w:lang w:val="en-GB"/>
        </w:rPr>
        <w:t xml:space="preserve"> lesson</w:t>
      </w:r>
      <w:r>
        <w:rPr>
          <w:lang w:val="en-GB"/>
        </w:rPr>
        <w:t xml:space="preserve"> that can be </w:t>
      </w:r>
      <w:r w:rsidR="00CB2BC5">
        <w:rPr>
          <w:lang w:val="en-GB"/>
        </w:rPr>
        <w:t xml:space="preserve">placed </w:t>
      </w:r>
      <w:r>
        <w:rPr>
          <w:lang w:val="en-GB"/>
        </w:rPr>
        <w:t>in the beginning as well as at the end of the fable (Aphthonius 1.3), and the fable itself is paradigmatical</w:t>
      </w:r>
      <w:r w:rsidR="006D31F8">
        <w:rPr>
          <w:lang w:val="en-GB"/>
        </w:rPr>
        <w:t>l</w:t>
      </w:r>
      <w:r>
        <w:rPr>
          <w:lang w:val="en-GB"/>
        </w:rPr>
        <w:t>y related with an account, to which it can precede or follow (Theon 74-75). In essence, the fable is a concrete and fictional account from which a general truth is extracted, as in</w:t>
      </w:r>
      <w:r w:rsidR="00314466">
        <w:rPr>
          <w:lang w:val="en-GB"/>
        </w:rPr>
        <w:t xml:space="preserve"> </w:t>
      </w:r>
      <w:r>
        <w:rPr>
          <w:lang w:val="en-GB"/>
        </w:rPr>
        <w:t>inductive reasoning and, with nuances, as in the Aristotelian example</w:t>
      </w:r>
      <w:r w:rsidR="00E740AF">
        <w:rPr>
          <w:lang w:val="en-GB"/>
        </w:rPr>
        <w:t>,</w:t>
      </w:r>
      <w:r>
        <w:rPr>
          <w:rStyle w:val="FootnoteCharacters"/>
        </w:rPr>
        <w:footnoteReference w:id="52"/>
      </w:r>
      <w:r>
        <w:rPr>
          <w:lang w:val="en-GB"/>
        </w:rPr>
        <w:t xml:space="preserve"> or it is also an account related </w:t>
      </w:r>
      <w:r w:rsidR="006D31F8">
        <w:rPr>
          <w:lang w:val="en-GB"/>
        </w:rPr>
        <w:t xml:space="preserve">to </w:t>
      </w:r>
      <w:r>
        <w:rPr>
          <w:lang w:val="en-GB"/>
        </w:rPr>
        <w:t>another through similarity.</w:t>
      </w:r>
    </w:p>
    <w:p w:rsidR="00050E3E" w:rsidRDefault="00050E3E">
      <w:pPr>
        <w:spacing w:line="360" w:lineRule="auto"/>
        <w:ind w:firstLine="708"/>
        <w:jc w:val="both"/>
        <w:rPr>
          <w:lang w:val="en-GB"/>
        </w:rPr>
      </w:pPr>
      <w:r>
        <w:rPr>
          <w:lang w:val="en-GB"/>
        </w:rPr>
        <w:t xml:space="preserve">The second progymnasmatic exercise is the narrative or </w:t>
      </w:r>
      <w:r>
        <w:rPr>
          <w:i/>
          <w:lang w:val="en-GB"/>
        </w:rPr>
        <w:t>diegema</w:t>
      </w:r>
      <w:r>
        <w:rPr>
          <w:lang w:val="en-GB"/>
        </w:rPr>
        <w:t>, defined as “an exposition of an action that has happened or as though it had happened” (</w:t>
      </w:r>
      <w:r>
        <w:rPr>
          <w:rFonts w:ascii="GR Times New Roman" w:hAnsi="GR Times New Roman" w:cs="GR Times New Roman"/>
        </w:rPr>
        <w:t>ἔκθεσις</w:t>
      </w:r>
      <w:r>
        <w:rPr>
          <w:rFonts w:ascii="GR Times New Roman" w:hAnsi="GR Times New Roman" w:cs="GR Times New Roman"/>
          <w:lang w:val="en-GB"/>
        </w:rPr>
        <w:t xml:space="preserve"> </w:t>
      </w:r>
      <w:r>
        <w:rPr>
          <w:rFonts w:ascii="GR Times New Roman" w:hAnsi="GR Times New Roman" w:cs="GR Times New Roman"/>
        </w:rPr>
        <w:t>πράγματος</w:t>
      </w:r>
      <w:r>
        <w:rPr>
          <w:rFonts w:ascii="GR Times New Roman" w:hAnsi="GR Times New Roman" w:cs="GR Times New Roman"/>
          <w:lang w:val="en-GB"/>
        </w:rPr>
        <w:t xml:space="preserve"> </w:t>
      </w:r>
      <w:r>
        <w:rPr>
          <w:rFonts w:ascii="GR Times New Roman" w:hAnsi="GR Times New Roman" w:cs="GR Times New Roman"/>
        </w:rPr>
        <w:t>γεγονότος</w:t>
      </w:r>
      <w:r>
        <w:rPr>
          <w:rFonts w:ascii="GR Times New Roman" w:hAnsi="GR Times New Roman" w:cs="GR Times New Roman"/>
          <w:lang w:val="en-GB"/>
        </w:rPr>
        <w:t xml:space="preserve"> </w:t>
      </w:r>
      <w:r>
        <w:rPr>
          <w:rFonts w:ascii="GR Times New Roman" w:hAnsi="GR Times New Roman" w:cs="GR Times New Roman"/>
        </w:rPr>
        <w:t>ἢ</w:t>
      </w:r>
      <w:r>
        <w:rPr>
          <w:rFonts w:ascii="GR Times New Roman" w:hAnsi="GR Times New Roman" w:cs="GR Times New Roman"/>
          <w:lang w:val="en-GB"/>
        </w:rPr>
        <w:t xml:space="preserve"> </w:t>
      </w:r>
      <w:r>
        <w:rPr>
          <w:rFonts w:ascii="GR Times New Roman" w:hAnsi="GR Times New Roman" w:cs="GR Times New Roman"/>
        </w:rPr>
        <w:t>ὡς</w:t>
      </w:r>
      <w:r>
        <w:rPr>
          <w:rFonts w:ascii="GR Times New Roman" w:hAnsi="GR Times New Roman" w:cs="GR Times New Roman"/>
          <w:lang w:val="en-GB"/>
        </w:rPr>
        <w:t xml:space="preserve"> </w:t>
      </w:r>
      <w:r>
        <w:rPr>
          <w:rFonts w:ascii="GR Times New Roman" w:hAnsi="GR Times New Roman" w:cs="GR Times New Roman"/>
        </w:rPr>
        <w:t>γεγονότος</w:t>
      </w:r>
      <w:r>
        <w:rPr>
          <w:lang w:val="en-GB"/>
        </w:rPr>
        <w:t>, Aphthonius 2.1 Patillon). This definition establishes a connection between the narrative and the historical example (which has happened)</w:t>
      </w:r>
      <w:r w:rsidR="00E740AF">
        <w:rPr>
          <w:lang w:val="en-GB"/>
        </w:rPr>
        <w:t>,</w:t>
      </w:r>
      <w:r>
        <w:rPr>
          <w:rStyle w:val="FootnoteCharacters"/>
        </w:rPr>
        <w:footnoteReference w:id="53"/>
      </w:r>
      <w:r>
        <w:rPr>
          <w:lang w:val="en-GB"/>
        </w:rPr>
        <w:t xml:space="preserve"> but perhaps also between the narrative and the fictional example designated</w:t>
      </w:r>
      <w:r w:rsidR="00D46B1C">
        <w:rPr>
          <w:lang w:val="en-GB"/>
        </w:rPr>
        <w:t xml:space="preserve"> as</w:t>
      </w:r>
      <w:r>
        <w:rPr>
          <w:lang w:val="en-GB"/>
        </w:rPr>
        <w:t xml:space="preserve"> </w:t>
      </w:r>
      <w:r>
        <w:rPr>
          <w:i/>
          <w:lang w:val="en-GB"/>
        </w:rPr>
        <w:t>parabole</w:t>
      </w:r>
      <w:r w:rsidR="00E740AF" w:rsidRPr="00E740AF">
        <w:rPr>
          <w:lang w:val="en-GB"/>
        </w:rPr>
        <w:t>.</w:t>
      </w:r>
      <w:r>
        <w:rPr>
          <w:rStyle w:val="FootnoteCharacters"/>
        </w:rPr>
        <w:footnoteReference w:id="54"/>
      </w:r>
      <w:r>
        <w:rPr>
          <w:lang w:val="en-GB"/>
        </w:rPr>
        <w:t xml:space="preserve"> So, in these first two exercises (fable and narrative) the three types of examples pointed out by Aristotle (at least, the two essential types: the fictional </w:t>
      </w:r>
      <w:r w:rsidR="003C2B9F">
        <w:rPr>
          <w:lang w:val="en-GB"/>
        </w:rPr>
        <w:t xml:space="preserve">and historical </w:t>
      </w:r>
      <w:r>
        <w:rPr>
          <w:lang w:val="en-GB"/>
        </w:rPr>
        <w:t>example) are apparently brought together.</w:t>
      </w:r>
    </w:p>
    <w:p w:rsidR="00050E3E" w:rsidRDefault="00050E3E">
      <w:pPr>
        <w:spacing w:line="360" w:lineRule="auto"/>
        <w:ind w:firstLine="708"/>
        <w:jc w:val="both"/>
        <w:rPr>
          <w:lang w:val="en-GB"/>
        </w:rPr>
      </w:pPr>
      <w:r>
        <w:rPr>
          <w:lang w:val="en-GB"/>
        </w:rPr>
        <w:t xml:space="preserve">However, although Aristotle includes in the </w:t>
      </w:r>
      <w:r w:rsidRPr="00F84F26">
        <w:rPr>
          <w:i/>
          <w:lang w:val="en-GB"/>
        </w:rPr>
        <w:t>paradeigma</w:t>
      </w:r>
      <w:r>
        <w:rPr>
          <w:lang w:val="en-GB"/>
        </w:rPr>
        <w:t xml:space="preserve"> the historical as well as the fictional example, he seems to give priority to the historical example, since it is the one he uses to explain what the </w:t>
      </w:r>
      <w:r>
        <w:rPr>
          <w:i/>
          <w:lang w:val="en-GB"/>
        </w:rPr>
        <w:t>paradeigma</w:t>
      </w:r>
      <w:r>
        <w:rPr>
          <w:lang w:val="en-GB"/>
        </w:rPr>
        <w:t xml:space="preserve"> is</w:t>
      </w:r>
      <w:r>
        <w:rPr>
          <w:i/>
          <w:lang w:val="en-GB"/>
        </w:rPr>
        <w:t xml:space="preserve"> </w:t>
      </w:r>
      <w:r>
        <w:rPr>
          <w:lang w:val="en-GB"/>
        </w:rPr>
        <w:t>(</w:t>
      </w:r>
      <w:r>
        <w:rPr>
          <w:i/>
          <w:lang w:val="en-GB"/>
        </w:rPr>
        <w:t>Rh</w:t>
      </w:r>
      <w:r>
        <w:rPr>
          <w:lang w:val="en-GB"/>
        </w:rPr>
        <w:t xml:space="preserve">. 1.2, 1357b30-36). </w:t>
      </w:r>
      <w:r w:rsidR="00B1036C">
        <w:rPr>
          <w:lang w:val="en-GB"/>
        </w:rPr>
        <w:t>But</w:t>
      </w:r>
      <w:r>
        <w:rPr>
          <w:lang w:val="en-GB"/>
        </w:rPr>
        <w:t xml:space="preserve"> in the Late period the fictive narrative becomes very important, perhaps, among other things, because of the function of the </w:t>
      </w:r>
      <w:r>
        <w:rPr>
          <w:i/>
          <w:lang w:val="en-GB"/>
        </w:rPr>
        <w:t>progymnasmata</w:t>
      </w:r>
      <w:r>
        <w:rPr>
          <w:lang w:val="en-GB"/>
        </w:rPr>
        <w:t xml:space="preserve"> in the scholar</w:t>
      </w:r>
      <w:r w:rsidR="006D31F8">
        <w:rPr>
          <w:lang w:val="en-GB"/>
        </w:rPr>
        <w:t>’s</w:t>
      </w:r>
      <w:r>
        <w:rPr>
          <w:lang w:val="en-GB"/>
        </w:rPr>
        <w:t xml:space="preserve"> education</w:t>
      </w:r>
      <w:r w:rsidR="00915E1B">
        <w:rPr>
          <w:lang w:val="en-GB"/>
        </w:rPr>
        <w:t>.</w:t>
      </w:r>
      <w:r>
        <w:rPr>
          <w:rStyle w:val="FootnoteCharacters"/>
        </w:rPr>
        <w:footnoteReference w:id="55"/>
      </w:r>
      <w:r>
        <w:rPr>
          <w:lang w:val="en-GB"/>
        </w:rPr>
        <w:t xml:space="preserve"> </w:t>
      </w:r>
      <w:r w:rsidR="00915E1B">
        <w:rPr>
          <w:lang w:val="en-GB"/>
        </w:rPr>
        <w:t>As a result,</w:t>
      </w:r>
      <w:r>
        <w:rPr>
          <w:lang w:val="en-GB"/>
        </w:rPr>
        <w:t xml:space="preserve"> the concept of </w:t>
      </w:r>
      <w:r>
        <w:rPr>
          <w:i/>
          <w:lang w:val="en-GB"/>
        </w:rPr>
        <w:t xml:space="preserve">enargeia </w:t>
      </w:r>
      <w:r>
        <w:rPr>
          <w:lang w:val="en-GB"/>
        </w:rPr>
        <w:t xml:space="preserve">(lat. </w:t>
      </w:r>
      <w:r>
        <w:rPr>
          <w:i/>
          <w:lang w:val="en-GB"/>
        </w:rPr>
        <w:t>evidentia</w:t>
      </w:r>
      <w:r>
        <w:rPr>
          <w:lang w:val="en-GB"/>
        </w:rPr>
        <w:t>)</w:t>
      </w:r>
      <w:r w:rsidR="00915E1B">
        <w:rPr>
          <w:lang w:val="en-GB"/>
        </w:rPr>
        <w:t xml:space="preserve"> is developed</w:t>
      </w:r>
      <w:r>
        <w:rPr>
          <w:lang w:val="en-GB"/>
        </w:rPr>
        <w:t>, which tries to show that the described element can be vividly imagined by the listener or, as Nicholas of Myra says, seeks to turn the listeners into spectators (Nicholas of Myra 68-70)</w:t>
      </w:r>
      <w:r w:rsidR="00E740AF">
        <w:rPr>
          <w:lang w:val="en-GB"/>
        </w:rPr>
        <w:t>.</w:t>
      </w:r>
      <w:r>
        <w:rPr>
          <w:rStyle w:val="FootnoteCharacters"/>
        </w:rPr>
        <w:footnoteReference w:id="56"/>
      </w:r>
    </w:p>
    <w:p w:rsidR="00050E3E" w:rsidRPr="00F84F26" w:rsidRDefault="00050E3E">
      <w:pPr>
        <w:spacing w:line="360" w:lineRule="auto"/>
        <w:ind w:firstLine="708"/>
        <w:jc w:val="both"/>
        <w:rPr>
          <w:lang w:val="en-GB"/>
        </w:rPr>
      </w:pPr>
      <w:r>
        <w:rPr>
          <w:lang w:val="en-GB"/>
        </w:rPr>
        <w:t xml:space="preserve">The </w:t>
      </w:r>
      <w:r w:rsidR="00F32787">
        <w:rPr>
          <w:lang w:val="en-GB"/>
        </w:rPr>
        <w:t>fact</w:t>
      </w:r>
      <w:r>
        <w:rPr>
          <w:lang w:val="en-GB"/>
        </w:rPr>
        <w:t xml:space="preserve"> is that the </w:t>
      </w:r>
      <w:r>
        <w:rPr>
          <w:i/>
          <w:lang w:val="en-GB"/>
        </w:rPr>
        <w:t>progymnasmata</w:t>
      </w:r>
      <w:r>
        <w:rPr>
          <w:lang w:val="en-GB"/>
        </w:rPr>
        <w:t xml:space="preserve"> provide elemental forms of speech and models from which the students can compose their productions, either in the sphere of political speech or in the sphere of literary expression. Thus, the argumentation in these treatises </w:t>
      </w:r>
      <w:r w:rsidR="00131F3F">
        <w:rPr>
          <w:lang w:val="en-GB"/>
        </w:rPr>
        <w:t>is deemed of</w:t>
      </w:r>
      <w:r>
        <w:rPr>
          <w:lang w:val="en-GB"/>
        </w:rPr>
        <w:t xml:space="preserve"> secondary </w:t>
      </w:r>
      <w:r w:rsidR="00131F3F">
        <w:rPr>
          <w:lang w:val="en-GB"/>
        </w:rPr>
        <w:t>importance</w:t>
      </w:r>
      <w:r>
        <w:rPr>
          <w:lang w:val="en-GB"/>
        </w:rPr>
        <w:t>.</w:t>
      </w:r>
    </w:p>
    <w:p w:rsidR="00050E3E" w:rsidRDefault="00050E3E">
      <w:pPr>
        <w:spacing w:line="360" w:lineRule="auto"/>
        <w:jc w:val="both"/>
        <w:rPr>
          <w:lang w:val="en-GB"/>
        </w:rPr>
      </w:pPr>
      <w:r w:rsidRPr="00F84F26">
        <w:rPr>
          <w:lang w:val="en-GB"/>
        </w:rPr>
        <w:tab/>
      </w:r>
      <w:r>
        <w:rPr>
          <w:lang w:val="en-GB"/>
        </w:rPr>
        <w:t xml:space="preserve">The </w:t>
      </w:r>
      <w:r w:rsidR="003A54D5">
        <w:rPr>
          <w:lang w:val="en-GB"/>
        </w:rPr>
        <w:t xml:space="preserve">pair </w:t>
      </w:r>
      <w:r>
        <w:rPr>
          <w:lang w:val="en-GB"/>
        </w:rPr>
        <w:t xml:space="preserve">formed by the </w:t>
      </w:r>
      <w:r>
        <w:rPr>
          <w:i/>
          <w:lang w:val="en-GB"/>
        </w:rPr>
        <w:t>paradeigma</w:t>
      </w:r>
      <w:r>
        <w:rPr>
          <w:lang w:val="en-GB"/>
        </w:rPr>
        <w:t xml:space="preserve"> and the </w:t>
      </w:r>
      <w:r>
        <w:rPr>
          <w:i/>
          <w:lang w:val="en-GB"/>
        </w:rPr>
        <w:t>parabole</w:t>
      </w:r>
      <w:r>
        <w:rPr>
          <w:lang w:val="en-GB"/>
        </w:rPr>
        <w:t>, so pr</w:t>
      </w:r>
      <w:r w:rsidR="000A159C">
        <w:rPr>
          <w:lang w:val="en-GB"/>
        </w:rPr>
        <w:t>ominent</w:t>
      </w:r>
      <w:r>
        <w:rPr>
          <w:lang w:val="en-GB"/>
        </w:rPr>
        <w:t xml:space="preserve"> in other rhetorical handbooks, is mentioned in the </w:t>
      </w:r>
      <w:r>
        <w:rPr>
          <w:i/>
          <w:lang w:val="en-GB"/>
        </w:rPr>
        <w:t>progymnasmata</w:t>
      </w:r>
      <w:r w:rsidR="000A159C">
        <w:rPr>
          <w:lang w:val="en-GB"/>
        </w:rPr>
        <w:t xml:space="preserve"> as well,</w:t>
      </w:r>
      <w:r>
        <w:rPr>
          <w:lang w:val="en-GB"/>
        </w:rPr>
        <w:t xml:space="preserve"> but here </w:t>
      </w:r>
      <w:r w:rsidR="003A54D5">
        <w:rPr>
          <w:lang w:val="en-GB"/>
        </w:rPr>
        <w:t xml:space="preserve">the two </w:t>
      </w:r>
      <w:r>
        <w:rPr>
          <w:lang w:val="en-GB"/>
        </w:rPr>
        <w:t xml:space="preserve">are elements </w:t>
      </w:r>
      <w:r w:rsidR="000A159C" w:rsidRPr="00131F3F">
        <w:rPr>
          <w:lang w:val="en-GB"/>
        </w:rPr>
        <w:t>from</w:t>
      </w:r>
      <w:r>
        <w:rPr>
          <w:lang w:val="en-GB"/>
        </w:rPr>
        <w:t xml:space="preserve"> which the </w:t>
      </w:r>
      <w:r>
        <w:rPr>
          <w:i/>
          <w:lang w:val="en-GB"/>
        </w:rPr>
        <w:t>chreia</w:t>
      </w:r>
      <w:r>
        <w:rPr>
          <w:lang w:val="en-GB"/>
        </w:rPr>
        <w:t xml:space="preserve"> or anecdote (Aphthonius 3.3 Patillon) and even the </w:t>
      </w:r>
      <w:r>
        <w:rPr>
          <w:i/>
          <w:lang w:val="en-GB"/>
        </w:rPr>
        <w:t>gnome</w:t>
      </w:r>
      <w:r>
        <w:rPr>
          <w:lang w:val="en-GB"/>
        </w:rPr>
        <w:t xml:space="preserve"> (Aphthonius 4.3 Patillon) can be composed, and the difference between them is not explained.</w:t>
      </w:r>
    </w:p>
    <w:p w:rsidR="00050E3E" w:rsidRDefault="00050E3E">
      <w:pPr>
        <w:spacing w:line="360" w:lineRule="auto"/>
        <w:jc w:val="both"/>
        <w:rPr>
          <w:lang w:val="en-GB"/>
        </w:rPr>
      </w:pPr>
      <w:r>
        <w:rPr>
          <w:lang w:val="en-GB"/>
        </w:rPr>
        <w:tab/>
        <w:t xml:space="preserve">Furthermore, among the progymnasmatic exercises the </w:t>
      </w:r>
      <w:r>
        <w:rPr>
          <w:i/>
          <w:lang w:val="en-GB"/>
        </w:rPr>
        <w:t>synkrisis</w:t>
      </w:r>
      <w:r>
        <w:rPr>
          <w:lang w:val="en-GB"/>
        </w:rPr>
        <w:t xml:space="preserve"> or comparison is also included; it is defined as “a comparison, made by setting things side-by-side, bringing the greater together with what is compared to it” (</w:t>
      </w:r>
      <w:r>
        <w:rPr>
          <w:rFonts w:ascii="GR Times New Roman" w:hAnsi="GR Times New Roman" w:cs="GR Times New Roman"/>
          <w:lang w:val="el-GR"/>
        </w:rPr>
        <w:t>λόγος</w:t>
      </w:r>
      <w:r>
        <w:rPr>
          <w:rFonts w:ascii="GR Times New Roman" w:hAnsi="GR Times New Roman" w:cs="GR Times New Roman"/>
          <w:lang w:val="en-GB"/>
        </w:rPr>
        <w:t xml:space="preserve"> </w:t>
      </w:r>
      <w:r>
        <w:rPr>
          <w:rFonts w:ascii="GR Times New Roman" w:hAnsi="GR Times New Roman" w:cs="GR Times New Roman"/>
          <w:lang w:val="el-GR"/>
        </w:rPr>
        <w:t>ἀντεξεταστικὸς</w:t>
      </w:r>
      <w:r>
        <w:rPr>
          <w:rFonts w:ascii="GR Times New Roman" w:hAnsi="GR Times New Roman" w:cs="GR Times New Roman"/>
          <w:lang w:val="en-GB"/>
        </w:rPr>
        <w:t xml:space="preserve"> </w:t>
      </w:r>
      <w:r>
        <w:rPr>
          <w:rFonts w:ascii="GR Times New Roman" w:hAnsi="GR Times New Roman" w:cs="GR Times New Roman"/>
          <w:lang w:val="el-GR"/>
        </w:rPr>
        <w:t>ἐκ</w:t>
      </w:r>
      <w:r>
        <w:rPr>
          <w:rFonts w:ascii="GR Times New Roman" w:hAnsi="GR Times New Roman" w:cs="GR Times New Roman"/>
          <w:lang w:val="en-GB"/>
        </w:rPr>
        <w:t xml:space="preserve"> </w:t>
      </w:r>
      <w:r>
        <w:rPr>
          <w:rFonts w:ascii="GR Times New Roman" w:hAnsi="GR Times New Roman" w:cs="GR Times New Roman"/>
          <w:lang w:val="el-GR"/>
        </w:rPr>
        <w:t>παραθ</w:t>
      </w:r>
      <w:r>
        <w:rPr>
          <w:rFonts w:ascii="GR Times New Roman" w:hAnsi="GR Times New Roman" w:cs="GR Times New Roman"/>
        </w:rPr>
        <w:t>έσεως</w:t>
      </w:r>
      <w:r>
        <w:rPr>
          <w:rFonts w:ascii="GR Times New Roman" w:hAnsi="GR Times New Roman" w:cs="GR Times New Roman"/>
          <w:lang w:val="en-GB"/>
        </w:rPr>
        <w:t xml:space="preserve"> </w:t>
      </w:r>
      <w:r>
        <w:rPr>
          <w:rFonts w:ascii="GR Times New Roman" w:hAnsi="GR Times New Roman" w:cs="GR Times New Roman"/>
        </w:rPr>
        <w:t>συνάγων</w:t>
      </w:r>
      <w:r>
        <w:rPr>
          <w:rFonts w:ascii="GR Times New Roman" w:hAnsi="GR Times New Roman" w:cs="GR Times New Roman"/>
          <w:lang w:val="en-GB"/>
        </w:rPr>
        <w:t xml:space="preserve"> </w:t>
      </w:r>
      <w:r>
        <w:rPr>
          <w:rFonts w:ascii="GR Times New Roman" w:hAnsi="GR Times New Roman" w:cs="GR Times New Roman"/>
        </w:rPr>
        <w:t>τῷ</w:t>
      </w:r>
      <w:r>
        <w:rPr>
          <w:rFonts w:ascii="GR Times New Roman" w:hAnsi="GR Times New Roman" w:cs="GR Times New Roman"/>
          <w:lang w:val="en-GB"/>
        </w:rPr>
        <w:t xml:space="preserve"> </w:t>
      </w:r>
      <w:r>
        <w:rPr>
          <w:rFonts w:ascii="GR Times New Roman" w:hAnsi="GR Times New Roman" w:cs="GR Times New Roman"/>
        </w:rPr>
        <w:t>παραβαλλομένῳ</w:t>
      </w:r>
      <w:r>
        <w:rPr>
          <w:rFonts w:ascii="GR Times New Roman" w:hAnsi="GR Times New Roman" w:cs="GR Times New Roman"/>
          <w:lang w:val="en-GB"/>
        </w:rPr>
        <w:t xml:space="preserve"> </w:t>
      </w:r>
      <w:r>
        <w:rPr>
          <w:rFonts w:ascii="GR Times New Roman" w:hAnsi="GR Times New Roman" w:cs="GR Times New Roman"/>
        </w:rPr>
        <w:t>τὸ</w:t>
      </w:r>
      <w:r>
        <w:rPr>
          <w:rFonts w:ascii="GR Times New Roman" w:hAnsi="GR Times New Roman" w:cs="GR Times New Roman"/>
          <w:lang w:val="en-GB"/>
        </w:rPr>
        <w:t xml:space="preserve"> </w:t>
      </w:r>
      <w:r>
        <w:rPr>
          <w:rFonts w:ascii="GR Times New Roman" w:hAnsi="GR Times New Roman" w:cs="GR Times New Roman"/>
        </w:rPr>
        <w:t>μεῖζον</w:t>
      </w:r>
      <w:r>
        <w:rPr>
          <w:lang w:val="en-GB"/>
        </w:rPr>
        <w:t xml:space="preserve">, Aphthonius 10.1 Patillon). In this definition it seems clear that there is an </w:t>
      </w:r>
      <w:r>
        <w:rPr>
          <w:i/>
          <w:lang w:val="en-GB"/>
        </w:rPr>
        <w:t>illustrans</w:t>
      </w:r>
      <w:r>
        <w:rPr>
          <w:lang w:val="en-GB"/>
        </w:rPr>
        <w:t xml:space="preserve"> and an </w:t>
      </w:r>
      <w:r>
        <w:rPr>
          <w:i/>
          <w:lang w:val="en-GB"/>
        </w:rPr>
        <w:t>illustrandum</w:t>
      </w:r>
      <w:r>
        <w:rPr>
          <w:lang w:val="en-GB"/>
        </w:rPr>
        <w:t xml:space="preserve">, as in the </w:t>
      </w:r>
      <w:r>
        <w:rPr>
          <w:i/>
          <w:lang w:val="en-GB"/>
        </w:rPr>
        <w:t>paradeigma</w:t>
      </w:r>
      <w:r>
        <w:rPr>
          <w:lang w:val="en-GB"/>
        </w:rPr>
        <w:t xml:space="preserve"> and in the </w:t>
      </w:r>
      <w:r>
        <w:rPr>
          <w:i/>
          <w:lang w:val="en-GB"/>
        </w:rPr>
        <w:t>parabole</w:t>
      </w:r>
      <w:r>
        <w:rPr>
          <w:lang w:val="en-GB"/>
        </w:rPr>
        <w:t>, but the relation</w:t>
      </w:r>
      <w:r w:rsidR="006D31F8">
        <w:rPr>
          <w:lang w:val="en-GB"/>
        </w:rPr>
        <w:t>ship</w:t>
      </w:r>
      <w:r>
        <w:rPr>
          <w:lang w:val="en-GB"/>
        </w:rPr>
        <w:t xml:space="preserve"> between them is of opposition instead of similarity, and as a consequence of that relation</w:t>
      </w:r>
      <w:r w:rsidR="006D31F8">
        <w:rPr>
          <w:lang w:val="en-GB"/>
        </w:rPr>
        <w:t>ship</w:t>
      </w:r>
      <w:r>
        <w:rPr>
          <w:lang w:val="en-GB"/>
        </w:rPr>
        <w:t xml:space="preserve"> between </w:t>
      </w:r>
      <w:r>
        <w:rPr>
          <w:i/>
          <w:lang w:val="en-GB"/>
        </w:rPr>
        <w:t>illustrans</w:t>
      </w:r>
      <w:r>
        <w:rPr>
          <w:lang w:val="en-GB"/>
        </w:rPr>
        <w:t xml:space="preserve"> and </w:t>
      </w:r>
      <w:r>
        <w:rPr>
          <w:i/>
          <w:lang w:val="en-GB"/>
        </w:rPr>
        <w:t>illustrandum</w:t>
      </w:r>
      <w:r>
        <w:rPr>
          <w:lang w:val="en-GB"/>
        </w:rPr>
        <w:t xml:space="preserve"> the </w:t>
      </w:r>
      <w:r>
        <w:rPr>
          <w:i/>
          <w:lang w:val="en-GB"/>
        </w:rPr>
        <w:t>illustrans</w:t>
      </w:r>
      <w:r>
        <w:rPr>
          <w:lang w:val="en-GB"/>
        </w:rPr>
        <w:t xml:space="preserve"> </w:t>
      </w:r>
      <w:r w:rsidR="00442720">
        <w:rPr>
          <w:lang w:val="en-GB"/>
        </w:rPr>
        <w:t>has the effect of emphasising</w:t>
      </w:r>
      <w:r>
        <w:rPr>
          <w:lang w:val="en-GB"/>
        </w:rPr>
        <w:t xml:space="preserve"> the value of the </w:t>
      </w:r>
      <w:r>
        <w:rPr>
          <w:i/>
          <w:lang w:val="en-GB"/>
        </w:rPr>
        <w:t>illustrandum</w:t>
      </w:r>
      <w:r>
        <w:rPr>
          <w:lang w:val="en-GB"/>
        </w:rPr>
        <w:t xml:space="preserve">. The inductive value that exists in the Aristotelian </w:t>
      </w:r>
      <w:r>
        <w:rPr>
          <w:i/>
          <w:lang w:val="en-GB"/>
        </w:rPr>
        <w:t>parabole</w:t>
      </w:r>
      <w:r>
        <w:rPr>
          <w:lang w:val="en-GB"/>
        </w:rPr>
        <w:t xml:space="preserve"> is </w:t>
      </w:r>
      <w:r w:rsidR="006D31F8">
        <w:rPr>
          <w:lang w:val="en-GB"/>
        </w:rPr>
        <w:t>minimised</w:t>
      </w:r>
      <w:r>
        <w:rPr>
          <w:lang w:val="en-GB"/>
        </w:rPr>
        <w:t xml:space="preserve">, therefore, in the progymnasmatic </w:t>
      </w:r>
      <w:r>
        <w:rPr>
          <w:i/>
          <w:lang w:val="en-GB"/>
        </w:rPr>
        <w:t>synkrisis</w:t>
      </w:r>
      <w:r>
        <w:rPr>
          <w:lang w:val="en-GB"/>
        </w:rPr>
        <w:t>.</w:t>
      </w:r>
    </w:p>
    <w:p w:rsidR="00050E3E" w:rsidRPr="00A03598" w:rsidRDefault="00050E3E">
      <w:pPr>
        <w:spacing w:line="360" w:lineRule="auto"/>
        <w:jc w:val="both"/>
        <w:rPr>
          <w:lang w:val="en-GB"/>
        </w:rPr>
      </w:pPr>
      <w:r>
        <w:rPr>
          <w:lang w:val="en-GB"/>
        </w:rPr>
        <w:tab/>
        <w:t xml:space="preserve">But there is another important </w:t>
      </w:r>
      <w:r w:rsidR="006D31F8">
        <w:rPr>
          <w:lang w:val="en-GB"/>
        </w:rPr>
        <w:t>consideration</w:t>
      </w:r>
      <w:r>
        <w:rPr>
          <w:lang w:val="en-GB"/>
        </w:rPr>
        <w:t xml:space="preserve">, and it </w:t>
      </w:r>
      <w:r w:rsidR="000A159C">
        <w:rPr>
          <w:lang w:val="en-GB"/>
        </w:rPr>
        <w:t>concerns the fact</w:t>
      </w:r>
      <w:r>
        <w:rPr>
          <w:lang w:val="en-GB"/>
        </w:rPr>
        <w:t xml:space="preserve"> that Aphthonius assumes that </w:t>
      </w:r>
      <w:r w:rsidR="000A159C">
        <w:rPr>
          <w:lang w:val="en-GB"/>
        </w:rPr>
        <w:t xml:space="preserve">there can be comparison involving </w:t>
      </w:r>
      <w:r>
        <w:rPr>
          <w:lang w:val="en-GB"/>
        </w:rPr>
        <w:t>“both persons and things, occasions and places, dumb animals, and, in addition, plants” (</w:t>
      </w:r>
      <w:r>
        <w:rPr>
          <w:rFonts w:ascii="GR Times New Roman" w:hAnsi="GR Times New Roman" w:cs="GR Times New Roman"/>
          <w:lang w:val="el-GR"/>
        </w:rPr>
        <w:t>πρόσωπά</w:t>
      </w:r>
      <w:r>
        <w:rPr>
          <w:rFonts w:ascii="GR Times New Roman" w:hAnsi="GR Times New Roman" w:cs="GR Times New Roman"/>
          <w:lang w:val="en-GB"/>
        </w:rPr>
        <w:t xml:space="preserve"> </w:t>
      </w:r>
      <w:r>
        <w:rPr>
          <w:rFonts w:ascii="GR Times New Roman" w:hAnsi="GR Times New Roman" w:cs="GR Times New Roman"/>
          <w:lang w:val="el-GR"/>
        </w:rPr>
        <w:t>τε</w:t>
      </w:r>
      <w:r>
        <w:rPr>
          <w:rFonts w:ascii="GR Times New Roman" w:hAnsi="GR Times New Roman" w:cs="GR Times New Roman"/>
          <w:lang w:val="en-GB"/>
        </w:rPr>
        <w:t xml:space="preserve"> </w:t>
      </w:r>
      <w:r>
        <w:rPr>
          <w:rFonts w:ascii="GR Times New Roman" w:hAnsi="GR Times New Roman" w:cs="GR Times New Roman"/>
          <w:lang w:val="el-GR"/>
        </w:rPr>
        <w:t>καὶ</w:t>
      </w:r>
      <w:r>
        <w:rPr>
          <w:rFonts w:ascii="GR Times New Roman" w:hAnsi="GR Times New Roman" w:cs="GR Times New Roman"/>
          <w:lang w:val="en-GB"/>
        </w:rPr>
        <w:t xml:space="preserve"> </w:t>
      </w:r>
      <w:r>
        <w:rPr>
          <w:rFonts w:ascii="GR Times New Roman" w:hAnsi="GR Times New Roman" w:cs="GR Times New Roman"/>
          <w:lang w:val="el-GR"/>
        </w:rPr>
        <w:t>πράγματα</w:t>
      </w:r>
      <w:r>
        <w:rPr>
          <w:rFonts w:ascii="GR Times New Roman" w:hAnsi="GR Times New Roman" w:cs="GR Times New Roman"/>
          <w:lang w:val="en-GB"/>
        </w:rPr>
        <w:t xml:space="preserve">, </w:t>
      </w:r>
      <w:r>
        <w:rPr>
          <w:rFonts w:ascii="GR Times New Roman" w:hAnsi="GR Times New Roman" w:cs="GR Times New Roman"/>
          <w:lang w:val="el-GR"/>
        </w:rPr>
        <w:t>καιρούς</w:t>
      </w:r>
      <w:r>
        <w:rPr>
          <w:rFonts w:ascii="GR Times New Roman" w:hAnsi="GR Times New Roman" w:cs="GR Times New Roman"/>
          <w:lang w:val="en-GB"/>
        </w:rPr>
        <w:t xml:space="preserve"> </w:t>
      </w:r>
      <w:r>
        <w:rPr>
          <w:rFonts w:ascii="GR Times New Roman" w:hAnsi="GR Times New Roman" w:cs="GR Times New Roman"/>
          <w:lang w:val="el-GR"/>
        </w:rPr>
        <w:t>τε</w:t>
      </w:r>
      <w:r>
        <w:rPr>
          <w:rFonts w:ascii="GR Times New Roman" w:hAnsi="GR Times New Roman" w:cs="GR Times New Roman"/>
          <w:lang w:val="en-GB"/>
        </w:rPr>
        <w:t xml:space="preserve"> </w:t>
      </w:r>
      <w:r>
        <w:rPr>
          <w:rFonts w:ascii="GR Times New Roman" w:hAnsi="GR Times New Roman" w:cs="GR Times New Roman"/>
          <w:lang w:val="el-GR"/>
        </w:rPr>
        <w:t>καὶ</w:t>
      </w:r>
      <w:r>
        <w:rPr>
          <w:rFonts w:ascii="GR Times New Roman" w:hAnsi="GR Times New Roman" w:cs="GR Times New Roman"/>
          <w:lang w:val="en-GB"/>
        </w:rPr>
        <w:t xml:space="preserve"> </w:t>
      </w:r>
      <w:r>
        <w:rPr>
          <w:rFonts w:ascii="GR Times New Roman" w:hAnsi="GR Times New Roman" w:cs="GR Times New Roman"/>
          <w:lang w:val="el-GR"/>
        </w:rPr>
        <w:t>τόπους</w:t>
      </w:r>
      <w:r>
        <w:rPr>
          <w:rFonts w:ascii="GR Times New Roman" w:hAnsi="GR Times New Roman" w:cs="GR Times New Roman"/>
          <w:lang w:val="en-GB"/>
        </w:rPr>
        <w:t xml:space="preserve">, </w:t>
      </w:r>
      <w:r>
        <w:rPr>
          <w:rFonts w:ascii="GR Times New Roman" w:hAnsi="GR Times New Roman" w:cs="GR Times New Roman"/>
          <w:lang w:val="el-GR"/>
        </w:rPr>
        <w:t>ἄλογα</w:t>
      </w:r>
      <w:r>
        <w:rPr>
          <w:rFonts w:ascii="GR Times New Roman" w:hAnsi="GR Times New Roman" w:cs="GR Times New Roman"/>
          <w:lang w:val="en-GB"/>
        </w:rPr>
        <w:t xml:space="preserve"> </w:t>
      </w:r>
      <w:r>
        <w:rPr>
          <w:rFonts w:ascii="GR Times New Roman" w:hAnsi="GR Times New Roman" w:cs="GR Times New Roman"/>
          <w:lang w:val="el-GR"/>
        </w:rPr>
        <w:t>ζῷα</w:t>
      </w:r>
      <w:r>
        <w:rPr>
          <w:rFonts w:ascii="GR Times New Roman" w:hAnsi="GR Times New Roman" w:cs="GR Times New Roman"/>
          <w:lang w:val="en-GB"/>
        </w:rPr>
        <w:t xml:space="preserve"> </w:t>
      </w:r>
      <w:r>
        <w:rPr>
          <w:rFonts w:ascii="GR Times New Roman" w:hAnsi="GR Times New Roman" w:cs="GR Times New Roman"/>
          <w:lang w:val="el-GR"/>
        </w:rPr>
        <w:t>καί</w:t>
      </w:r>
      <w:r>
        <w:rPr>
          <w:rFonts w:ascii="GR Times New Roman" w:hAnsi="GR Times New Roman" w:cs="GR Times New Roman"/>
          <w:lang w:val="en-GB"/>
        </w:rPr>
        <w:t xml:space="preserve"> </w:t>
      </w:r>
      <w:r>
        <w:rPr>
          <w:rFonts w:ascii="GR Times New Roman" w:hAnsi="GR Times New Roman" w:cs="GR Times New Roman"/>
          <w:lang w:val="el-GR"/>
        </w:rPr>
        <w:t>πρὸς</w:t>
      </w:r>
      <w:r>
        <w:rPr>
          <w:rFonts w:ascii="GR Times New Roman" w:hAnsi="GR Times New Roman" w:cs="GR Times New Roman"/>
          <w:lang w:val="en-GB"/>
        </w:rPr>
        <w:t xml:space="preserve"> </w:t>
      </w:r>
      <w:r>
        <w:rPr>
          <w:rFonts w:ascii="GR Times New Roman" w:hAnsi="GR Times New Roman" w:cs="GR Times New Roman"/>
          <w:lang w:val="el-GR"/>
        </w:rPr>
        <w:t>τούτοις</w:t>
      </w:r>
      <w:r>
        <w:rPr>
          <w:rFonts w:ascii="GR Times New Roman" w:hAnsi="GR Times New Roman" w:cs="GR Times New Roman"/>
          <w:lang w:val="en-GB"/>
        </w:rPr>
        <w:t xml:space="preserve"> </w:t>
      </w:r>
      <w:r>
        <w:rPr>
          <w:rFonts w:ascii="GR Times New Roman" w:hAnsi="GR Times New Roman" w:cs="GR Times New Roman"/>
          <w:lang w:val="el-GR"/>
        </w:rPr>
        <w:t>φυτά</w:t>
      </w:r>
      <w:r>
        <w:rPr>
          <w:lang w:val="en-GB"/>
        </w:rPr>
        <w:t xml:space="preserve">, Aphthonius 10.2 Patillon). So, while </w:t>
      </w:r>
      <w:r>
        <w:rPr>
          <w:i/>
          <w:lang w:val="en-GB"/>
        </w:rPr>
        <w:t>paradeigma</w:t>
      </w:r>
      <w:r>
        <w:rPr>
          <w:lang w:val="en-GB"/>
        </w:rPr>
        <w:t xml:space="preserve"> and </w:t>
      </w:r>
      <w:r>
        <w:rPr>
          <w:i/>
          <w:lang w:val="en-GB"/>
        </w:rPr>
        <w:t>parabole</w:t>
      </w:r>
      <w:r>
        <w:rPr>
          <w:lang w:val="en-GB"/>
        </w:rPr>
        <w:t xml:space="preserve"> are differentiated to a large extent according to their content, the </w:t>
      </w:r>
      <w:r>
        <w:rPr>
          <w:i/>
          <w:lang w:val="en-GB"/>
        </w:rPr>
        <w:t>synkrisis</w:t>
      </w:r>
      <w:r>
        <w:rPr>
          <w:lang w:val="en-GB"/>
        </w:rPr>
        <w:t xml:space="preserve"> seems to imply a different type of reasoning. That is, the </w:t>
      </w:r>
      <w:r>
        <w:rPr>
          <w:i/>
          <w:lang w:val="en-GB"/>
        </w:rPr>
        <w:t>synkrisis</w:t>
      </w:r>
      <w:r>
        <w:rPr>
          <w:lang w:val="en-GB"/>
        </w:rPr>
        <w:t xml:space="preserve"> separates itself from the </w:t>
      </w:r>
      <w:r>
        <w:rPr>
          <w:i/>
          <w:lang w:val="en-GB"/>
        </w:rPr>
        <w:t>paradeigma</w:t>
      </w:r>
      <w:r>
        <w:rPr>
          <w:lang w:val="en-GB"/>
        </w:rPr>
        <w:t xml:space="preserve"> and is presented as a specific resource at the service of the encomium or the vituperation, since it establishes an opposition between two elements which deserve a different valuation, with the target not of </w:t>
      </w:r>
      <w:r w:rsidR="006B51BE">
        <w:rPr>
          <w:lang w:val="en-GB"/>
        </w:rPr>
        <w:t xml:space="preserve">supporting </w:t>
      </w:r>
      <w:r>
        <w:rPr>
          <w:lang w:val="en-GB"/>
        </w:rPr>
        <w:t>an argumentation, but of giving, by opposition, more brilliance to a character.</w:t>
      </w:r>
    </w:p>
    <w:p w:rsidR="00050E3E" w:rsidRPr="00A03598" w:rsidRDefault="00050E3E">
      <w:pPr>
        <w:spacing w:line="360" w:lineRule="auto"/>
        <w:jc w:val="both"/>
        <w:rPr>
          <w:lang w:val="en-GB"/>
        </w:rPr>
      </w:pPr>
    </w:p>
    <w:p w:rsidR="00050E3E" w:rsidRDefault="00050E3E">
      <w:pPr>
        <w:spacing w:line="360" w:lineRule="auto"/>
        <w:jc w:val="both"/>
        <w:rPr>
          <w:lang w:val="en-GB"/>
        </w:rPr>
      </w:pPr>
      <w:r>
        <w:rPr>
          <w:smallCaps/>
          <w:lang w:val="en-GB"/>
        </w:rPr>
        <w:t>Conclusion</w:t>
      </w:r>
    </w:p>
    <w:p w:rsidR="00050E3E" w:rsidRPr="00A03598" w:rsidRDefault="00050E3E">
      <w:pPr>
        <w:spacing w:line="360" w:lineRule="auto"/>
        <w:jc w:val="both"/>
        <w:rPr>
          <w:lang w:val="en-GB"/>
        </w:rPr>
      </w:pPr>
      <w:r>
        <w:rPr>
          <w:lang w:val="en-GB"/>
        </w:rPr>
        <w:tab/>
      </w:r>
      <w:r w:rsidR="006D31F8">
        <w:rPr>
          <w:lang w:val="en-GB"/>
        </w:rPr>
        <w:t>Classical</w:t>
      </w:r>
      <w:r>
        <w:rPr>
          <w:lang w:val="en-GB"/>
        </w:rPr>
        <w:t xml:space="preserve"> rhetoric, </w:t>
      </w:r>
      <w:r w:rsidR="006D31F8">
        <w:rPr>
          <w:lang w:val="en-GB"/>
        </w:rPr>
        <w:t>e</w:t>
      </w:r>
      <w:r>
        <w:rPr>
          <w:lang w:val="en-GB"/>
        </w:rPr>
        <w:t xml:space="preserve">specially Aristotle, lays the essential foundations for the definition of </w:t>
      </w:r>
      <w:r>
        <w:rPr>
          <w:i/>
          <w:lang w:val="en-GB"/>
        </w:rPr>
        <w:t>paradeigma</w:t>
      </w:r>
      <w:r>
        <w:rPr>
          <w:lang w:val="en-GB"/>
        </w:rPr>
        <w:t xml:space="preserve">, explaining its argumentative function and its possible contents. The main characteristics of the </w:t>
      </w:r>
      <w:r>
        <w:rPr>
          <w:i/>
          <w:lang w:val="en-GB"/>
        </w:rPr>
        <w:t>paradeigma</w:t>
      </w:r>
      <w:r>
        <w:rPr>
          <w:lang w:val="en-GB"/>
        </w:rPr>
        <w:t xml:space="preserve"> remain in the Late period, although the view of that figure </w:t>
      </w:r>
      <w:r w:rsidR="000A159C" w:rsidRPr="00F46E20">
        <w:rPr>
          <w:lang w:val="en-GB"/>
        </w:rPr>
        <w:t>is</w:t>
      </w:r>
      <w:r w:rsidR="000A159C">
        <w:rPr>
          <w:lang w:val="en-GB"/>
        </w:rPr>
        <w:t xml:space="preserve"> </w:t>
      </w:r>
      <w:r>
        <w:rPr>
          <w:lang w:val="en-GB"/>
        </w:rPr>
        <w:t>gradually enriched.</w:t>
      </w:r>
    </w:p>
    <w:p w:rsidR="00050E3E" w:rsidRDefault="00050E3E">
      <w:pPr>
        <w:spacing w:line="360" w:lineRule="auto"/>
        <w:jc w:val="both"/>
        <w:rPr>
          <w:lang w:val="en-GB"/>
        </w:rPr>
      </w:pPr>
      <w:r w:rsidRPr="00A03598">
        <w:rPr>
          <w:lang w:val="en-GB"/>
        </w:rPr>
        <w:tab/>
      </w:r>
      <w:r>
        <w:rPr>
          <w:lang w:val="en-GB"/>
        </w:rPr>
        <w:t xml:space="preserve">To begin with, in consonance with the double meaning of the </w:t>
      </w:r>
      <w:r>
        <w:rPr>
          <w:i/>
          <w:lang w:val="en-GB"/>
        </w:rPr>
        <w:t>paradeigma</w:t>
      </w:r>
      <w:r>
        <w:rPr>
          <w:lang w:val="en-GB"/>
        </w:rPr>
        <w:t xml:space="preserve"> in Aristotle, in the Late period too there are paradigmatic examples opposed to the enthymematic ones</w:t>
      </w:r>
      <w:r w:rsidR="000A159C">
        <w:rPr>
          <w:lang w:val="en-GB"/>
        </w:rPr>
        <w:t>,</w:t>
      </w:r>
      <w:r>
        <w:rPr>
          <w:lang w:val="en-GB"/>
        </w:rPr>
        <w:t xml:space="preserve"> and the </w:t>
      </w:r>
      <w:r>
        <w:rPr>
          <w:i/>
          <w:lang w:val="en-GB"/>
        </w:rPr>
        <w:t>paradeigma</w:t>
      </w:r>
      <w:r>
        <w:rPr>
          <w:lang w:val="en-GB"/>
        </w:rPr>
        <w:t xml:space="preserve"> and the </w:t>
      </w:r>
      <w:r>
        <w:rPr>
          <w:i/>
          <w:lang w:val="en-GB"/>
        </w:rPr>
        <w:t>parabole</w:t>
      </w:r>
      <w:r>
        <w:rPr>
          <w:lang w:val="en-GB"/>
        </w:rPr>
        <w:t xml:space="preserve"> are included</w:t>
      </w:r>
      <w:r w:rsidR="000A159C">
        <w:rPr>
          <w:lang w:val="en-GB"/>
        </w:rPr>
        <w:t xml:space="preserve"> among them</w:t>
      </w:r>
      <w:r>
        <w:rPr>
          <w:lang w:val="en-GB"/>
        </w:rPr>
        <w:t xml:space="preserve"> (in the Late period the</w:t>
      </w:r>
      <w:r w:rsidR="00486459">
        <w:rPr>
          <w:lang w:val="en-GB"/>
        </w:rPr>
        <w:t xml:space="preserve"> fable or</w:t>
      </w:r>
      <w:r>
        <w:rPr>
          <w:lang w:val="en-GB"/>
        </w:rPr>
        <w:t xml:space="preserve"> </w:t>
      </w:r>
      <w:r>
        <w:rPr>
          <w:i/>
          <w:lang w:val="en-GB"/>
        </w:rPr>
        <w:t>logos</w:t>
      </w:r>
      <w:r>
        <w:rPr>
          <w:lang w:val="en-GB"/>
        </w:rPr>
        <w:t xml:space="preserve"> is omitted in most cases); the </w:t>
      </w:r>
      <w:r>
        <w:rPr>
          <w:i/>
          <w:lang w:val="en-GB"/>
        </w:rPr>
        <w:t>paradeigma</w:t>
      </w:r>
      <w:r>
        <w:rPr>
          <w:lang w:val="en-GB"/>
        </w:rPr>
        <w:t xml:space="preserve"> and the </w:t>
      </w:r>
      <w:r>
        <w:rPr>
          <w:i/>
          <w:lang w:val="en-GB"/>
        </w:rPr>
        <w:t>parabole</w:t>
      </w:r>
      <w:r>
        <w:rPr>
          <w:lang w:val="en-GB"/>
        </w:rPr>
        <w:t xml:space="preserve"> remain unfailingly linked, but they differ depending on diverse criteria: Aristotle differentiates </w:t>
      </w:r>
      <w:r>
        <w:rPr>
          <w:i/>
          <w:lang w:val="en-GB"/>
        </w:rPr>
        <w:t>paradeigma</w:t>
      </w:r>
      <w:r>
        <w:rPr>
          <w:lang w:val="en-GB"/>
        </w:rPr>
        <w:t xml:space="preserve"> and </w:t>
      </w:r>
      <w:r>
        <w:rPr>
          <w:i/>
          <w:lang w:val="en-GB"/>
        </w:rPr>
        <w:t>parabole</w:t>
      </w:r>
      <w:r>
        <w:rPr>
          <w:lang w:val="en-GB"/>
        </w:rPr>
        <w:t xml:space="preserve"> because of their different grade of veracity, Apsines differentiates depending on whether they focus on rational or irrational creatures, Rufus differentiates depending on whether they refer to a past or a present event</w:t>
      </w:r>
      <w:r w:rsidR="00F46E20">
        <w:rPr>
          <w:lang w:val="en-GB"/>
        </w:rPr>
        <w:t>, etc</w:t>
      </w:r>
      <w:r>
        <w:rPr>
          <w:lang w:val="en-GB"/>
        </w:rPr>
        <w:t>.</w:t>
      </w:r>
    </w:p>
    <w:p w:rsidR="00050E3E" w:rsidRDefault="00050E3E">
      <w:pPr>
        <w:spacing w:line="360" w:lineRule="auto"/>
        <w:jc w:val="both"/>
        <w:rPr>
          <w:lang w:val="en-GB"/>
        </w:rPr>
      </w:pPr>
      <w:r>
        <w:rPr>
          <w:lang w:val="en-GB"/>
        </w:rPr>
        <w:tab/>
        <w:t xml:space="preserve">Moreover, in the </w:t>
      </w:r>
      <w:r w:rsidR="003A54D5">
        <w:rPr>
          <w:lang w:val="en-GB"/>
        </w:rPr>
        <w:t xml:space="preserve">Imperial </w:t>
      </w:r>
      <w:r>
        <w:rPr>
          <w:lang w:val="en-GB"/>
        </w:rPr>
        <w:t>period</w:t>
      </w:r>
      <w:r w:rsidR="003A54D5">
        <w:rPr>
          <w:lang w:val="en-GB"/>
        </w:rPr>
        <w:t xml:space="preserve">, and later on during Late Antiquity </w:t>
      </w:r>
      <w:r>
        <w:rPr>
          <w:lang w:val="en-GB"/>
        </w:rPr>
        <w:t xml:space="preserve">the </w:t>
      </w:r>
      <w:r w:rsidR="006D31F8">
        <w:rPr>
          <w:lang w:val="en-GB"/>
        </w:rPr>
        <w:t xml:space="preserve">methods </w:t>
      </w:r>
      <w:r>
        <w:rPr>
          <w:lang w:val="en-GB"/>
        </w:rPr>
        <w:t>of refutation are enriched and the types of relation</w:t>
      </w:r>
      <w:r w:rsidR="006D31F8">
        <w:rPr>
          <w:lang w:val="en-GB"/>
        </w:rPr>
        <w:t>ship</w:t>
      </w:r>
      <w:r>
        <w:rPr>
          <w:lang w:val="en-GB"/>
        </w:rPr>
        <w:t xml:space="preserve"> between </w:t>
      </w:r>
      <w:r>
        <w:rPr>
          <w:i/>
          <w:lang w:val="en-GB"/>
        </w:rPr>
        <w:t>illustrans</w:t>
      </w:r>
      <w:r>
        <w:rPr>
          <w:lang w:val="en-GB"/>
        </w:rPr>
        <w:t xml:space="preserve"> and </w:t>
      </w:r>
      <w:r>
        <w:rPr>
          <w:i/>
          <w:lang w:val="en-GB"/>
        </w:rPr>
        <w:t>illustrandum</w:t>
      </w:r>
      <w:r>
        <w:rPr>
          <w:lang w:val="en-GB"/>
        </w:rPr>
        <w:t xml:space="preserve"> increase, two aspects</w:t>
      </w:r>
      <w:r w:rsidR="000A159C">
        <w:rPr>
          <w:lang w:val="en-GB"/>
        </w:rPr>
        <w:t xml:space="preserve"> of the argumentation process</w:t>
      </w:r>
      <w:r>
        <w:rPr>
          <w:lang w:val="en-GB"/>
        </w:rPr>
        <w:t xml:space="preserve"> that in classical rhetoric are not very developed.</w:t>
      </w:r>
    </w:p>
    <w:p w:rsidR="00050E3E" w:rsidRDefault="00050E3E">
      <w:pPr>
        <w:spacing w:line="360" w:lineRule="auto"/>
        <w:jc w:val="both"/>
        <w:rPr>
          <w:lang w:val="en-GB"/>
        </w:rPr>
      </w:pPr>
      <w:r>
        <w:rPr>
          <w:lang w:val="en-GB"/>
        </w:rPr>
        <w:tab/>
        <w:t xml:space="preserve">But perhaps the most important change refers to the function of the example. The </w:t>
      </w:r>
      <w:r>
        <w:rPr>
          <w:i/>
          <w:lang w:val="en-GB"/>
        </w:rPr>
        <w:t>paradeigma</w:t>
      </w:r>
      <w:r>
        <w:rPr>
          <w:lang w:val="en-GB"/>
        </w:rPr>
        <w:t xml:space="preserve"> has, in general terms, three functions: “as an example, it makes generalization possible; as an illustration, it provides support for an already established regularity; as a model, it encourages imitation”</w:t>
      </w:r>
      <w:r w:rsidR="00E740AF">
        <w:rPr>
          <w:lang w:val="en-GB"/>
        </w:rPr>
        <w:t>.</w:t>
      </w:r>
      <w:r>
        <w:rPr>
          <w:rStyle w:val="FootnoteCharacters"/>
        </w:rPr>
        <w:footnoteReference w:id="57"/>
      </w:r>
      <w:r>
        <w:rPr>
          <w:lang w:val="en-GB"/>
        </w:rPr>
        <w:t xml:space="preserve"> Classical rhetoric and most of late rhetoric focuses on the first two functions, but </w:t>
      </w:r>
      <w:r w:rsidRPr="00131F3F">
        <w:rPr>
          <w:lang w:val="en-GB"/>
        </w:rPr>
        <w:t xml:space="preserve">with time the third function </w:t>
      </w:r>
      <w:r w:rsidR="001928C9" w:rsidRPr="00131F3F">
        <w:rPr>
          <w:lang w:val="en-GB"/>
        </w:rPr>
        <w:t>bec</w:t>
      </w:r>
      <w:r w:rsidR="00543E76" w:rsidRPr="00131F3F">
        <w:rPr>
          <w:lang w:val="en-GB"/>
        </w:rPr>
        <w:t>omes</w:t>
      </w:r>
      <w:r w:rsidR="001928C9" w:rsidRPr="00131F3F">
        <w:rPr>
          <w:lang w:val="en-GB"/>
        </w:rPr>
        <w:t xml:space="preserve"> increasingly</w:t>
      </w:r>
      <w:r w:rsidR="00364EE5" w:rsidRPr="00131F3F">
        <w:rPr>
          <w:lang w:val="en-GB"/>
        </w:rPr>
        <w:t xml:space="preserve"> </w:t>
      </w:r>
      <w:r w:rsidR="001928C9" w:rsidRPr="00131F3F">
        <w:rPr>
          <w:lang w:val="en-GB"/>
        </w:rPr>
        <w:t>prominent</w:t>
      </w:r>
      <w:r w:rsidRPr="00131F3F">
        <w:rPr>
          <w:lang w:val="en-GB"/>
        </w:rPr>
        <w:t>, which explains the medieval</w:t>
      </w:r>
      <w:r>
        <w:rPr>
          <w:lang w:val="en-GB"/>
        </w:rPr>
        <w:t xml:space="preserve"> success of the collections of </w:t>
      </w:r>
      <w:r>
        <w:rPr>
          <w:i/>
          <w:lang w:val="en-GB"/>
        </w:rPr>
        <w:t>exempla</w:t>
      </w:r>
      <w:r w:rsidR="00E740AF">
        <w:rPr>
          <w:lang w:val="en-GB"/>
        </w:rPr>
        <w:t>.</w:t>
      </w:r>
      <w:r>
        <w:rPr>
          <w:rStyle w:val="FootnoteCharacters"/>
        </w:rPr>
        <w:footnoteReference w:id="58"/>
      </w:r>
    </w:p>
    <w:p w:rsidR="000517D1" w:rsidRDefault="000517D1">
      <w:pPr>
        <w:spacing w:line="360" w:lineRule="auto"/>
        <w:jc w:val="both"/>
        <w:rPr>
          <w:lang w:val="en-GB"/>
        </w:rPr>
      </w:pPr>
    </w:p>
    <w:p w:rsidR="00EA4B46" w:rsidRDefault="00EA4B46" w:rsidP="00EA4B46">
      <w:pPr>
        <w:spacing w:line="360" w:lineRule="auto"/>
        <w:rPr>
          <w:lang w:val="en-GB"/>
        </w:rPr>
      </w:pPr>
      <w:r>
        <w:rPr>
          <w:lang w:val="en-GB"/>
        </w:rPr>
        <w:t>BIBLIOGRAPHY</w:t>
      </w:r>
    </w:p>
    <w:p w:rsidR="00EA4B46" w:rsidRDefault="00EA4B46" w:rsidP="00EA4B46">
      <w:pPr>
        <w:spacing w:line="360" w:lineRule="auto"/>
        <w:ind w:left="360" w:hanging="360"/>
        <w:jc w:val="both"/>
        <w:rPr>
          <w:lang w:val="en-GB"/>
        </w:rPr>
      </w:pPr>
      <w:r w:rsidRPr="00B855D9">
        <w:rPr>
          <w:lang w:val="en-GB"/>
        </w:rPr>
        <w:t>Alewell</w:t>
      </w:r>
      <w:r>
        <w:rPr>
          <w:lang w:val="en-GB"/>
        </w:rPr>
        <w:t>, K.</w:t>
      </w:r>
      <w:r w:rsidRPr="00E94508">
        <w:rPr>
          <w:lang w:val="en-GB"/>
        </w:rPr>
        <w:t xml:space="preserve"> </w:t>
      </w:r>
      <w:r w:rsidRPr="003E42D1">
        <w:rPr>
          <w:lang w:val="en-GB"/>
        </w:rPr>
        <w:t>1913</w:t>
      </w:r>
      <w:r>
        <w:rPr>
          <w:lang w:val="en-GB"/>
        </w:rPr>
        <w:t>.</w:t>
      </w:r>
      <w:r w:rsidRPr="00E94508">
        <w:rPr>
          <w:lang w:val="en-GB"/>
        </w:rPr>
        <w:t xml:space="preserve"> </w:t>
      </w:r>
      <w:r w:rsidRPr="00E94508">
        <w:rPr>
          <w:i/>
          <w:lang w:val="en-GB"/>
        </w:rPr>
        <w:t xml:space="preserve">Über das rhetorische Paradeigma. </w:t>
      </w:r>
      <w:r w:rsidRPr="00C465DF">
        <w:rPr>
          <w:i/>
          <w:lang w:val="en-GB"/>
        </w:rPr>
        <w:t>Theorie, Beispielsammlungen, Verwendung in der römischen Literatur der Kaiserzeit</w:t>
      </w:r>
      <w:r>
        <w:rPr>
          <w:lang w:val="en-GB"/>
        </w:rPr>
        <w:t>. Leipzig.</w:t>
      </w:r>
    </w:p>
    <w:p w:rsidR="00EA4B46" w:rsidRPr="00EA4B46" w:rsidRDefault="00EA4B46" w:rsidP="00EA4B46">
      <w:pPr>
        <w:spacing w:line="360" w:lineRule="auto"/>
        <w:ind w:left="360" w:hanging="360"/>
        <w:jc w:val="both"/>
      </w:pPr>
      <w:r w:rsidRPr="00B855D9">
        <w:rPr>
          <w:lang w:val="en-GB"/>
        </w:rPr>
        <w:t>Anderson</w:t>
      </w:r>
      <w:r>
        <w:rPr>
          <w:lang w:val="en-GB"/>
        </w:rPr>
        <w:t xml:space="preserve">, R. D. 2000. </w:t>
      </w:r>
      <w:r w:rsidRPr="00312384">
        <w:rPr>
          <w:i/>
          <w:lang w:val="en-GB"/>
        </w:rPr>
        <w:t>Glossary of Greek Rhetorical Terms connected to Methods of Argumentation, Figures and Tropes from Anaximenes to Quintilian</w:t>
      </w:r>
      <w:r>
        <w:rPr>
          <w:lang w:val="en-GB"/>
        </w:rPr>
        <w:t xml:space="preserve">. </w:t>
      </w:r>
      <w:r w:rsidRPr="00EA4B46">
        <w:t>Leuven.</w:t>
      </w:r>
    </w:p>
    <w:p w:rsidR="00641868" w:rsidRPr="00EF0609" w:rsidRDefault="00641868" w:rsidP="00641868">
      <w:pPr>
        <w:spacing w:line="360" w:lineRule="auto"/>
        <w:ind w:left="360" w:hanging="360"/>
        <w:jc w:val="both"/>
        <w:rPr>
          <w:lang w:val="en-GB"/>
        </w:rPr>
      </w:pPr>
      <w:r w:rsidRPr="00EA4B46">
        <w:t xml:space="preserve">Calboli Montefusco, L. 1986. </w:t>
      </w:r>
      <w:r w:rsidRPr="00B855D9">
        <w:rPr>
          <w:i/>
        </w:rPr>
        <w:t>La doctrina degli ‘status’ nella retorica greca e romana</w:t>
      </w:r>
      <w:r w:rsidRPr="00B855D9">
        <w:t xml:space="preserve">. </w:t>
      </w:r>
      <w:r w:rsidRPr="00B855D9">
        <w:rPr>
          <w:lang w:val="en-GB"/>
        </w:rPr>
        <w:t xml:space="preserve">Hildesheim, </w:t>
      </w:r>
      <w:r>
        <w:rPr>
          <w:lang w:val="en-GB"/>
        </w:rPr>
        <w:t xml:space="preserve">Zürich and </w:t>
      </w:r>
      <w:r w:rsidRPr="00EF0609">
        <w:rPr>
          <w:lang w:val="en-GB"/>
        </w:rPr>
        <w:t>New York.</w:t>
      </w:r>
    </w:p>
    <w:p w:rsidR="00EA4B46" w:rsidRPr="00B855D9" w:rsidRDefault="00EA4B46" w:rsidP="00EA4B46">
      <w:pPr>
        <w:spacing w:line="360" w:lineRule="auto"/>
        <w:ind w:left="360" w:hanging="360"/>
        <w:jc w:val="both"/>
        <w:rPr>
          <w:lang w:val="fr-FR"/>
        </w:rPr>
      </w:pPr>
      <w:r w:rsidRPr="00B855D9">
        <w:rPr>
          <w:lang w:val="en-GB"/>
        </w:rPr>
        <w:t>Calboli Montefusco</w:t>
      </w:r>
      <w:r>
        <w:rPr>
          <w:lang w:val="en-GB"/>
        </w:rPr>
        <w:t xml:space="preserve">, L. 2007. “Argumentative Devices in the </w:t>
      </w:r>
      <w:r w:rsidRPr="00834345">
        <w:rPr>
          <w:i/>
          <w:lang w:val="en-GB"/>
        </w:rPr>
        <w:t>Rhetorica ad Alexandrum</w:t>
      </w:r>
      <w:r>
        <w:rPr>
          <w:i/>
          <w:lang w:val="en-GB"/>
        </w:rPr>
        <w:t>.</w:t>
      </w:r>
      <w:r>
        <w:rPr>
          <w:lang w:val="en-GB"/>
        </w:rPr>
        <w:t xml:space="preserve">” In: </w:t>
      </w:r>
      <w:r w:rsidRPr="00834345">
        <w:rPr>
          <w:i/>
          <w:lang w:val="en-GB"/>
        </w:rPr>
        <w:t xml:space="preserve">Influences on Peripatetic Rhetoric. </w:t>
      </w:r>
      <w:r w:rsidRPr="00B855D9">
        <w:rPr>
          <w:i/>
          <w:lang w:val="en-GB"/>
        </w:rPr>
        <w:t>Essays on Honor of William W. Fortenbaugh</w:t>
      </w:r>
      <w:r w:rsidRPr="00B855D9">
        <w:rPr>
          <w:lang w:val="en-GB"/>
        </w:rPr>
        <w:t xml:space="preserve">, </w:t>
      </w:r>
      <w:r>
        <w:rPr>
          <w:lang w:val="en-GB"/>
        </w:rPr>
        <w:t xml:space="preserve">ed. </w:t>
      </w:r>
      <w:r w:rsidRPr="00B855D9">
        <w:rPr>
          <w:lang w:val="fr-FR"/>
        </w:rPr>
        <w:t>D. C. Mirhady: 105-21. Leiden and Boston.</w:t>
      </w:r>
    </w:p>
    <w:p w:rsidR="00EA4B46" w:rsidRDefault="00EA4B46" w:rsidP="00EA4B46">
      <w:pPr>
        <w:spacing w:line="360" w:lineRule="auto"/>
        <w:ind w:left="360" w:hanging="360"/>
        <w:jc w:val="both"/>
        <w:rPr>
          <w:lang w:val="fr-FR"/>
        </w:rPr>
      </w:pPr>
      <w:r w:rsidRPr="00B855D9">
        <w:rPr>
          <w:lang w:val="fr-FR"/>
        </w:rPr>
        <w:t>Chiron</w:t>
      </w:r>
      <w:r w:rsidRPr="00B855D9">
        <w:rPr>
          <w:smallCaps/>
          <w:lang w:val="fr-FR"/>
        </w:rPr>
        <w:t xml:space="preserve">, P. </w:t>
      </w:r>
      <w:r w:rsidRPr="00B855D9">
        <w:rPr>
          <w:lang w:val="fr-FR"/>
        </w:rPr>
        <w:t>1998</w:t>
      </w:r>
      <w:r>
        <w:rPr>
          <w:lang w:val="fr-FR"/>
        </w:rPr>
        <w:t>.</w:t>
      </w:r>
      <w:r w:rsidRPr="00B855D9">
        <w:rPr>
          <w:smallCaps/>
          <w:lang w:val="fr-FR"/>
        </w:rPr>
        <w:t xml:space="preserve"> </w:t>
      </w:r>
      <w:r w:rsidRPr="00B855D9">
        <w:rPr>
          <w:lang w:val="fr-FR"/>
        </w:rPr>
        <w:t xml:space="preserve">“À propos d’une série de </w:t>
      </w:r>
      <w:r w:rsidRPr="00B855D9">
        <w:rPr>
          <w:i/>
          <w:lang w:val="fr-FR"/>
        </w:rPr>
        <w:t>pisteis</w:t>
      </w:r>
      <w:r w:rsidRPr="00B855D9">
        <w:rPr>
          <w:lang w:val="fr-FR"/>
        </w:rPr>
        <w:t xml:space="preserve"> dans la </w:t>
      </w:r>
      <w:r w:rsidRPr="00B855D9">
        <w:rPr>
          <w:i/>
          <w:lang w:val="fr-FR"/>
        </w:rPr>
        <w:t>R</w:t>
      </w:r>
      <w:r w:rsidRPr="009940EB">
        <w:rPr>
          <w:i/>
          <w:lang w:val="fr-FR"/>
        </w:rPr>
        <w:t>hétorique à Alexandre</w:t>
      </w:r>
      <w:r>
        <w:rPr>
          <w:lang w:val="fr-FR"/>
        </w:rPr>
        <w:t xml:space="preserve"> (Ps.-Aristote, </w:t>
      </w:r>
      <w:r w:rsidRPr="009940EB">
        <w:rPr>
          <w:i/>
          <w:lang w:val="fr-FR"/>
        </w:rPr>
        <w:t>Rh.Al</w:t>
      </w:r>
      <w:r>
        <w:rPr>
          <w:lang w:val="fr-FR"/>
        </w:rPr>
        <w:t xml:space="preserve">., chap. 7-14).” </w:t>
      </w:r>
      <w:r w:rsidRPr="009940EB">
        <w:rPr>
          <w:i/>
          <w:lang w:val="fr-FR"/>
        </w:rPr>
        <w:t>Rhetorica</w:t>
      </w:r>
      <w:r>
        <w:rPr>
          <w:lang w:val="fr-FR"/>
        </w:rPr>
        <w:t xml:space="preserve"> 16(4): 349-91.</w:t>
      </w:r>
    </w:p>
    <w:p w:rsidR="00EA4B46" w:rsidRDefault="00EA4B46" w:rsidP="00EA4B46">
      <w:pPr>
        <w:spacing w:line="360" w:lineRule="auto"/>
        <w:jc w:val="both"/>
        <w:rPr>
          <w:lang w:val="fr-FR"/>
        </w:rPr>
      </w:pPr>
      <w:r w:rsidRPr="00B855D9">
        <w:rPr>
          <w:lang w:val="fr-FR"/>
        </w:rPr>
        <w:t>Chiron</w:t>
      </w:r>
      <w:r>
        <w:rPr>
          <w:lang w:val="fr-FR"/>
        </w:rPr>
        <w:t xml:space="preserve">, P. 2002. </w:t>
      </w:r>
      <w:r w:rsidRPr="00EB6320">
        <w:rPr>
          <w:i/>
          <w:lang w:val="fr-FR"/>
        </w:rPr>
        <w:t>Pseudo-Aristote. Rhétorique à Alexandre</w:t>
      </w:r>
      <w:r>
        <w:rPr>
          <w:lang w:val="fr-FR"/>
        </w:rPr>
        <w:t>. Paris.</w:t>
      </w:r>
    </w:p>
    <w:p w:rsidR="00EA4B46" w:rsidRPr="00995EB7" w:rsidRDefault="00EA4B46" w:rsidP="00EA4B46">
      <w:pPr>
        <w:spacing w:line="360" w:lineRule="auto"/>
        <w:ind w:left="360" w:hanging="360"/>
        <w:jc w:val="both"/>
        <w:rPr>
          <w:lang w:val="fr-FR"/>
        </w:rPr>
      </w:pPr>
      <w:r w:rsidRPr="00B855D9">
        <w:rPr>
          <w:lang w:val="fr-FR"/>
        </w:rPr>
        <w:t>Chiron</w:t>
      </w:r>
      <w:r w:rsidRPr="00AE6CF9">
        <w:rPr>
          <w:lang w:val="fr-FR"/>
        </w:rPr>
        <w:t>, P.</w:t>
      </w:r>
      <w:r>
        <w:rPr>
          <w:lang w:val="fr-FR"/>
        </w:rPr>
        <w:t xml:space="preserve"> 2004.</w:t>
      </w:r>
      <w:r w:rsidRPr="00AE6CF9">
        <w:rPr>
          <w:lang w:val="fr-FR"/>
        </w:rPr>
        <w:t xml:space="preserve"> “Les rapports entre la </w:t>
      </w:r>
      <w:r w:rsidRPr="00AE6CF9">
        <w:rPr>
          <w:i/>
          <w:lang w:val="fr-FR"/>
        </w:rPr>
        <w:t>Rhétorique à Alexandre</w:t>
      </w:r>
      <w:r w:rsidRPr="00AE6CF9">
        <w:rPr>
          <w:lang w:val="fr-FR"/>
        </w:rPr>
        <w:t xml:space="preserve"> et la </w:t>
      </w:r>
      <w:r w:rsidRPr="00AE6CF9">
        <w:rPr>
          <w:i/>
          <w:lang w:val="fr-FR"/>
        </w:rPr>
        <w:t>Rhétorique</w:t>
      </w:r>
      <w:r w:rsidRPr="00AE6CF9">
        <w:rPr>
          <w:lang w:val="fr-FR"/>
        </w:rPr>
        <w:t xml:space="preserve"> d’</w:t>
      </w:r>
      <w:r>
        <w:rPr>
          <w:lang w:val="fr-FR"/>
        </w:rPr>
        <w:t>Aristote: le ‘test’ de la brièveté.</w:t>
      </w:r>
      <w:r w:rsidRPr="00AE6CF9">
        <w:rPr>
          <w:lang w:val="fr-FR"/>
        </w:rPr>
        <w:t>”</w:t>
      </w:r>
      <w:r>
        <w:rPr>
          <w:lang w:val="fr-FR"/>
        </w:rPr>
        <w:t xml:space="preserve"> </w:t>
      </w:r>
      <w:r w:rsidRPr="00995EB7">
        <w:rPr>
          <w:lang w:val="en-GB"/>
        </w:rPr>
        <w:t xml:space="preserve">In: </w:t>
      </w:r>
      <w:r w:rsidRPr="00995EB7">
        <w:rPr>
          <w:i/>
          <w:lang w:val="en-GB"/>
        </w:rPr>
        <w:t xml:space="preserve">Papers on Rhetoric, vol. </w:t>
      </w:r>
      <w:r w:rsidRPr="00EA4B46">
        <w:rPr>
          <w:i/>
          <w:lang w:val="en-GB"/>
        </w:rPr>
        <w:t>VI</w:t>
      </w:r>
      <w:r w:rsidRPr="00EA4B46">
        <w:rPr>
          <w:lang w:val="en-GB"/>
        </w:rPr>
        <w:t xml:space="preserve">, ed. L. Calboli Montefusco: 81-100. </w:t>
      </w:r>
      <w:r w:rsidRPr="00995EB7">
        <w:rPr>
          <w:lang w:val="fr-FR"/>
        </w:rPr>
        <w:t>Roma.</w:t>
      </w:r>
    </w:p>
    <w:p w:rsidR="00EA4B46" w:rsidRPr="005912ED" w:rsidRDefault="00EA4B46" w:rsidP="00EA4B46">
      <w:pPr>
        <w:spacing w:line="360" w:lineRule="auto"/>
        <w:ind w:left="360" w:hanging="360"/>
        <w:jc w:val="both"/>
        <w:rPr>
          <w:lang w:val="en-GB"/>
        </w:rPr>
      </w:pPr>
      <w:r w:rsidRPr="00EA4B46">
        <w:rPr>
          <w:lang w:val="fr-FR"/>
        </w:rPr>
        <w:t xml:space="preserve">Chiron, P. 2007. </w:t>
      </w:r>
      <w:r w:rsidRPr="000158A1">
        <w:rPr>
          <w:lang w:val="fr-FR"/>
        </w:rPr>
        <w:t xml:space="preserve">“Les </w:t>
      </w:r>
      <w:r w:rsidRPr="000158A1">
        <w:rPr>
          <w:i/>
          <w:lang w:val="fr-FR"/>
        </w:rPr>
        <w:t>Arts Rhétoriques</w:t>
      </w:r>
      <w:r w:rsidRPr="000158A1">
        <w:rPr>
          <w:lang w:val="fr-FR"/>
        </w:rPr>
        <w:t xml:space="preserve"> gréco-latins: structures et fonctions.” </w:t>
      </w:r>
      <w:r w:rsidRPr="005912ED">
        <w:rPr>
          <w:i/>
          <w:lang w:val="en-GB"/>
        </w:rPr>
        <w:t>Metis</w:t>
      </w:r>
      <w:r w:rsidRPr="005912ED">
        <w:rPr>
          <w:lang w:val="en-GB"/>
        </w:rPr>
        <w:t xml:space="preserve"> 5: 101-34.</w:t>
      </w:r>
    </w:p>
    <w:p w:rsidR="00EA4B46" w:rsidRPr="00143818" w:rsidRDefault="00EA4B46" w:rsidP="00EA4B46">
      <w:pPr>
        <w:spacing w:line="360" w:lineRule="auto"/>
        <w:ind w:left="360" w:hanging="360"/>
        <w:jc w:val="both"/>
        <w:rPr>
          <w:lang w:val="fr-FR"/>
        </w:rPr>
      </w:pPr>
      <w:r w:rsidRPr="005912ED">
        <w:rPr>
          <w:lang w:val="en-GB"/>
        </w:rPr>
        <w:t>Chiron</w:t>
      </w:r>
      <w:r w:rsidRPr="000158A1">
        <w:rPr>
          <w:lang w:val="en-GB"/>
        </w:rPr>
        <w:t xml:space="preserve">, P. </w:t>
      </w:r>
      <w:r w:rsidRPr="00695901">
        <w:rPr>
          <w:lang w:val="en-GB"/>
        </w:rPr>
        <w:t>2011</w:t>
      </w:r>
      <w:r>
        <w:rPr>
          <w:lang w:val="en-GB"/>
        </w:rPr>
        <w:t>a.</w:t>
      </w:r>
      <w:r w:rsidRPr="00695901">
        <w:rPr>
          <w:lang w:val="en-GB"/>
        </w:rPr>
        <w:t> “</w:t>
      </w:r>
      <w:r>
        <w:rPr>
          <w:lang w:val="en-GB"/>
        </w:rPr>
        <w:t xml:space="preserve">Relative Dating of the </w:t>
      </w:r>
      <w:r w:rsidRPr="00695901">
        <w:rPr>
          <w:i/>
          <w:lang w:val="en-GB"/>
        </w:rPr>
        <w:t>Rhetoric to Alexander</w:t>
      </w:r>
      <w:r>
        <w:rPr>
          <w:lang w:val="en-GB"/>
        </w:rPr>
        <w:t xml:space="preserve"> and Aristotle’s </w:t>
      </w:r>
      <w:r w:rsidRPr="00695901">
        <w:rPr>
          <w:i/>
          <w:lang w:val="en-GB"/>
        </w:rPr>
        <w:t>Rhetoric</w:t>
      </w:r>
      <w:r>
        <w:rPr>
          <w:lang w:val="en-GB"/>
        </w:rPr>
        <w:t>: A Methodology and Hypothesis.</w:t>
      </w:r>
      <w:r w:rsidRPr="00695901">
        <w:rPr>
          <w:lang w:val="en-GB"/>
        </w:rPr>
        <w:t xml:space="preserve">” </w:t>
      </w:r>
      <w:r w:rsidRPr="00143818">
        <w:rPr>
          <w:i/>
          <w:lang w:val="fr-FR"/>
        </w:rPr>
        <w:t>Rhetorica</w:t>
      </w:r>
      <w:r w:rsidRPr="00143818">
        <w:rPr>
          <w:lang w:val="fr-FR"/>
        </w:rPr>
        <w:t xml:space="preserve"> 29(3): 236-62.</w:t>
      </w:r>
    </w:p>
    <w:p w:rsidR="00EA4B46" w:rsidRDefault="00EA4B46" w:rsidP="00EA4B46">
      <w:pPr>
        <w:spacing w:line="360" w:lineRule="auto"/>
        <w:ind w:left="360" w:hanging="360"/>
        <w:jc w:val="both"/>
        <w:rPr>
          <w:lang w:val="fr-FR"/>
        </w:rPr>
      </w:pPr>
      <w:r w:rsidRPr="00143818">
        <w:rPr>
          <w:lang w:val="fr-FR"/>
        </w:rPr>
        <w:t>Chiron</w:t>
      </w:r>
      <w:r w:rsidRPr="00143818">
        <w:rPr>
          <w:smallCaps/>
          <w:lang w:val="fr-FR"/>
        </w:rPr>
        <w:t xml:space="preserve">, P. </w:t>
      </w:r>
      <w:r w:rsidRPr="00143818">
        <w:rPr>
          <w:lang w:val="fr-FR"/>
        </w:rPr>
        <w:t>2011b</w:t>
      </w:r>
      <w:r>
        <w:rPr>
          <w:lang w:val="fr-FR"/>
        </w:rPr>
        <w:t>.</w:t>
      </w:r>
      <w:r w:rsidRPr="00143818">
        <w:rPr>
          <w:lang w:val="fr-FR"/>
        </w:rPr>
        <w:t xml:space="preserve"> “Les fables dans la critique littéraire grecque antique</w:t>
      </w:r>
      <w:r>
        <w:rPr>
          <w:lang w:val="fr-FR"/>
        </w:rPr>
        <w:t>.”</w:t>
      </w:r>
      <w:r w:rsidRPr="00143818">
        <w:rPr>
          <w:lang w:val="fr-FR"/>
        </w:rPr>
        <w:t xml:space="preserve"> </w:t>
      </w:r>
      <w:r>
        <w:rPr>
          <w:lang w:val="fr-FR"/>
        </w:rPr>
        <w:t>I</w:t>
      </w:r>
      <w:r w:rsidRPr="00143818">
        <w:rPr>
          <w:lang w:val="fr-FR"/>
        </w:rPr>
        <w:t>n</w:t>
      </w:r>
      <w:r>
        <w:rPr>
          <w:lang w:val="fr-FR"/>
        </w:rPr>
        <w:t>:</w:t>
      </w:r>
      <w:r w:rsidRPr="00143818">
        <w:rPr>
          <w:lang w:val="fr-FR"/>
        </w:rPr>
        <w:t xml:space="preserve"> </w:t>
      </w:r>
      <w:r w:rsidRPr="00D23CEA">
        <w:rPr>
          <w:i/>
          <w:lang w:val="fr-FR"/>
        </w:rPr>
        <w:t>Les fables avant La Fontaine</w:t>
      </w:r>
      <w:r>
        <w:rPr>
          <w:lang w:val="fr-FR"/>
        </w:rPr>
        <w:t xml:space="preserve">, eds. </w:t>
      </w:r>
      <w:r w:rsidRPr="00143818">
        <w:rPr>
          <w:lang w:val="fr-FR"/>
        </w:rPr>
        <w:t xml:space="preserve">J.-M. Boivin, J. Cerquiglini-Toulet </w:t>
      </w:r>
      <w:r>
        <w:rPr>
          <w:lang w:val="fr-FR"/>
        </w:rPr>
        <w:t>and</w:t>
      </w:r>
      <w:r w:rsidRPr="00143818">
        <w:rPr>
          <w:lang w:val="fr-FR"/>
        </w:rPr>
        <w:t xml:space="preserve"> L. Harf-</w:t>
      </w:r>
      <w:r w:rsidRPr="00D23CEA">
        <w:rPr>
          <w:lang w:val="fr-FR"/>
        </w:rPr>
        <w:t>Lancner</w:t>
      </w:r>
      <w:r>
        <w:rPr>
          <w:lang w:val="fr-FR"/>
        </w:rPr>
        <w:t>: 31-44. Geneva.</w:t>
      </w:r>
    </w:p>
    <w:p w:rsidR="00EA4B46" w:rsidRPr="003E42D1" w:rsidRDefault="00EA4B46" w:rsidP="00EA4B46">
      <w:pPr>
        <w:spacing w:line="360" w:lineRule="auto"/>
        <w:ind w:left="360" w:hanging="360"/>
        <w:jc w:val="both"/>
        <w:rPr>
          <w:lang w:val="fr-FR"/>
        </w:rPr>
      </w:pPr>
      <w:r w:rsidRPr="00E07401">
        <w:rPr>
          <w:lang w:val="fr-FR"/>
        </w:rPr>
        <w:t>Chiron</w:t>
      </w:r>
      <w:r w:rsidRPr="003E42D1">
        <w:rPr>
          <w:lang w:val="fr-FR"/>
        </w:rPr>
        <w:t>, P. 2017</w:t>
      </w:r>
      <w:r>
        <w:rPr>
          <w:lang w:val="fr-FR"/>
        </w:rPr>
        <w:t>.</w:t>
      </w:r>
      <w:r w:rsidRPr="003E42D1">
        <w:rPr>
          <w:lang w:val="fr-FR"/>
        </w:rPr>
        <w:t xml:space="preserve"> “Les </w:t>
      </w:r>
      <w:r w:rsidRPr="003E42D1">
        <w:rPr>
          <w:i/>
          <w:lang w:val="fr-FR"/>
        </w:rPr>
        <w:t>progymnasmata</w:t>
      </w:r>
      <w:r w:rsidRPr="003E42D1">
        <w:rPr>
          <w:lang w:val="fr-FR"/>
        </w:rPr>
        <w:t xml:space="preserve"> de l’Antiquité gréco-latine</w:t>
      </w:r>
      <w:r>
        <w:rPr>
          <w:lang w:val="fr-FR"/>
        </w:rPr>
        <w:t>.</w:t>
      </w:r>
      <w:r w:rsidRPr="003E42D1">
        <w:rPr>
          <w:lang w:val="fr-FR"/>
        </w:rPr>
        <w:t xml:space="preserve">” </w:t>
      </w:r>
      <w:r w:rsidRPr="003E42D1">
        <w:rPr>
          <w:i/>
          <w:lang w:val="fr-FR"/>
        </w:rPr>
        <w:t>Lustrum</w:t>
      </w:r>
      <w:r>
        <w:rPr>
          <w:lang w:val="fr-FR"/>
        </w:rPr>
        <w:t xml:space="preserve"> 59:</w:t>
      </w:r>
      <w:r w:rsidRPr="003E42D1">
        <w:rPr>
          <w:lang w:val="fr-FR"/>
        </w:rPr>
        <w:t xml:space="preserve"> 7-129.</w:t>
      </w:r>
    </w:p>
    <w:p w:rsidR="00EA4B46" w:rsidRPr="00EA4B46" w:rsidRDefault="00EA4B46" w:rsidP="00EA4B46">
      <w:pPr>
        <w:spacing w:line="360" w:lineRule="auto"/>
        <w:ind w:left="360" w:hanging="360"/>
        <w:jc w:val="both"/>
        <w:rPr>
          <w:lang w:val="en-GB"/>
        </w:rPr>
      </w:pPr>
      <w:r w:rsidRPr="00E07401">
        <w:rPr>
          <w:lang w:val="fr-FR"/>
        </w:rPr>
        <w:t>Coenen</w:t>
      </w:r>
      <w:r w:rsidRPr="00FB3218">
        <w:rPr>
          <w:lang w:val="fr-FR"/>
        </w:rPr>
        <w:t>, H.</w:t>
      </w:r>
      <w:r>
        <w:rPr>
          <w:lang w:val="fr-FR"/>
        </w:rPr>
        <w:t xml:space="preserve"> G.</w:t>
      </w:r>
      <w:r w:rsidRPr="00FB3218">
        <w:rPr>
          <w:lang w:val="fr-FR"/>
        </w:rPr>
        <w:t xml:space="preserve"> 1992</w:t>
      </w:r>
      <w:r>
        <w:rPr>
          <w:lang w:val="fr-FR"/>
        </w:rPr>
        <w:t>.</w:t>
      </w:r>
      <w:r w:rsidRPr="00FB3218">
        <w:rPr>
          <w:lang w:val="fr-FR"/>
        </w:rPr>
        <w:t xml:space="preserve"> </w:t>
      </w:r>
      <w:r w:rsidRPr="005A3CFD">
        <w:rPr>
          <w:lang w:val="fr-FR"/>
        </w:rPr>
        <w:t>“</w:t>
      </w:r>
      <w:r w:rsidRPr="00FB3218">
        <w:rPr>
          <w:lang w:val="fr-FR"/>
        </w:rPr>
        <w:t>La classification des exemples</w:t>
      </w:r>
      <w:r>
        <w:rPr>
          <w:lang w:val="fr-FR"/>
        </w:rPr>
        <w:t xml:space="preserve"> </w:t>
      </w:r>
      <w:r w:rsidRPr="00FB3218">
        <w:rPr>
          <w:lang w:val="fr-FR"/>
        </w:rPr>
        <w:t>d’après Aristote (</w:t>
      </w:r>
      <w:r w:rsidRPr="00FB3218">
        <w:rPr>
          <w:i/>
          <w:lang w:val="fr-FR"/>
        </w:rPr>
        <w:t>Rhétorique</w:t>
      </w:r>
      <w:r>
        <w:rPr>
          <w:lang w:val="fr-FR"/>
        </w:rPr>
        <w:t xml:space="preserve"> 2,20</w:t>
      </w:r>
      <w:r w:rsidRPr="00FB3218">
        <w:rPr>
          <w:lang w:val="fr-FR"/>
        </w:rPr>
        <w:t>)</w:t>
      </w:r>
      <w:r>
        <w:rPr>
          <w:lang w:val="fr-FR"/>
        </w:rPr>
        <w:t>.</w:t>
      </w:r>
      <w:r w:rsidRPr="005A3CFD">
        <w:rPr>
          <w:lang w:val="fr-FR"/>
        </w:rPr>
        <w:t>”</w:t>
      </w:r>
      <w:r>
        <w:rPr>
          <w:lang w:val="fr-FR"/>
        </w:rPr>
        <w:t xml:space="preserve"> </w:t>
      </w:r>
      <w:r w:rsidRPr="00EA4B46">
        <w:rPr>
          <w:i/>
          <w:lang w:val="en-GB"/>
        </w:rPr>
        <w:t>Argumentation</w:t>
      </w:r>
      <w:r w:rsidRPr="00EA4B46">
        <w:rPr>
          <w:lang w:val="en-GB"/>
        </w:rPr>
        <w:t xml:space="preserve"> 6(3): 321-36.</w:t>
      </w:r>
    </w:p>
    <w:p w:rsidR="00EA4B46" w:rsidRPr="00EA4B46" w:rsidRDefault="00EA4B46" w:rsidP="00EA4B46">
      <w:pPr>
        <w:spacing w:line="360" w:lineRule="auto"/>
        <w:jc w:val="both"/>
        <w:rPr>
          <w:lang w:val="en-GB"/>
        </w:rPr>
      </w:pPr>
      <w:r w:rsidRPr="00EA4B46">
        <w:rPr>
          <w:lang w:val="en-GB"/>
        </w:rPr>
        <w:t xml:space="preserve">Cole, T. 1991a. “Who was Corax?.” </w:t>
      </w:r>
      <w:r w:rsidRPr="00EA4B46">
        <w:rPr>
          <w:i/>
          <w:lang w:val="en-GB"/>
        </w:rPr>
        <w:t xml:space="preserve">Illinois Classical Studies </w:t>
      </w:r>
      <w:r w:rsidRPr="00EA4B46">
        <w:rPr>
          <w:lang w:val="en-GB"/>
        </w:rPr>
        <w:t>16: 65-84.</w:t>
      </w:r>
    </w:p>
    <w:p w:rsidR="00EA4B46" w:rsidRPr="00EA4B46" w:rsidRDefault="00EA4B46" w:rsidP="00EA4B46">
      <w:pPr>
        <w:spacing w:line="360" w:lineRule="auto"/>
        <w:jc w:val="both"/>
        <w:rPr>
          <w:lang w:val="en-GB"/>
        </w:rPr>
      </w:pPr>
      <w:r w:rsidRPr="00EA4B46">
        <w:rPr>
          <w:lang w:val="en-GB"/>
        </w:rPr>
        <w:t xml:space="preserve">Cole, T. 1991b. </w:t>
      </w:r>
      <w:r w:rsidRPr="00B72370">
        <w:rPr>
          <w:i/>
          <w:lang w:val="en-GB"/>
        </w:rPr>
        <w:t>The Origins of Rhetoric in Ancient Greece</w:t>
      </w:r>
      <w:r w:rsidRPr="00B72370">
        <w:rPr>
          <w:lang w:val="en-GB"/>
        </w:rPr>
        <w:t xml:space="preserve">. </w:t>
      </w:r>
      <w:r w:rsidRPr="00EA4B46">
        <w:rPr>
          <w:lang w:val="en-GB"/>
        </w:rPr>
        <w:t>Baltimore and London.</w:t>
      </w:r>
    </w:p>
    <w:p w:rsidR="00EA4B46" w:rsidRPr="0088099A" w:rsidRDefault="00EA4B46" w:rsidP="00EA4B46">
      <w:pPr>
        <w:spacing w:line="360" w:lineRule="auto"/>
        <w:ind w:left="360" w:hanging="360"/>
        <w:jc w:val="both"/>
        <w:rPr>
          <w:lang w:val="en-GB"/>
        </w:rPr>
      </w:pPr>
      <w:r w:rsidRPr="00EA4B46">
        <w:rPr>
          <w:lang w:val="en-GB"/>
        </w:rPr>
        <w:t xml:space="preserve">Conte, S. 2016. </w:t>
      </w:r>
      <w:r w:rsidRPr="00D23CEA">
        <w:rPr>
          <w:lang w:val="fr-FR"/>
        </w:rPr>
        <w:t>“</w:t>
      </w:r>
      <w:r>
        <w:rPr>
          <w:lang w:val="fr-FR"/>
        </w:rPr>
        <w:t>Introduction: le traité de rhétorique comme texte.” I</w:t>
      </w:r>
      <w:r w:rsidRPr="00D23CEA">
        <w:rPr>
          <w:lang w:val="fr-FR"/>
        </w:rPr>
        <w:t>n</w:t>
      </w:r>
      <w:r>
        <w:rPr>
          <w:lang w:val="fr-FR"/>
        </w:rPr>
        <w:t xml:space="preserve">: </w:t>
      </w:r>
      <w:r w:rsidRPr="000C0FDD">
        <w:rPr>
          <w:i/>
          <w:lang w:val="fr-FR"/>
        </w:rPr>
        <w:t>L’écriture des traités de rhétorique des origines grecques à la Renaissance</w:t>
      </w:r>
      <w:r>
        <w:rPr>
          <w:lang w:val="fr-FR"/>
        </w:rPr>
        <w:t xml:space="preserve">, eds. </w:t>
      </w:r>
      <w:r w:rsidRPr="0088099A">
        <w:rPr>
          <w:lang w:val="en-GB"/>
        </w:rPr>
        <w:t>S. Conte and S. Dubel: 11-28. Bordeaux.</w:t>
      </w:r>
    </w:p>
    <w:p w:rsidR="00EA4B46" w:rsidRPr="0088099A" w:rsidRDefault="00EA4B46" w:rsidP="00EA4B46">
      <w:pPr>
        <w:spacing w:line="360" w:lineRule="auto"/>
        <w:jc w:val="both"/>
        <w:rPr>
          <w:lang w:val="en-GB"/>
        </w:rPr>
      </w:pPr>
      <w:r w:rsidRPr="0088099A">
        <w:rPr>
          <w:lang w:val="en-GB"/>
        </w:rPr>
        <w:t>Cope, E. M. 1867</w:t>
      </w:r>
      <w:r>
        <w:rPr>
          <w:lang w:val="en-GB"/>
        </w:rPr>
        <w:t>.</w:t>
      </w:r>
      <w:r w:rsidRPr="0088099A">
        <w:rPr>
          <w:lang w:val="en-GB"/>
        </w:rPr>
        <w:t xml:space="preserve"> </w:t>
      </w:r>
      <w:r w:rsidRPr="0088099A">
        <w:rPr>
          <w:i/>
          <w:lang w:val="en-GB"/>
        </w:rPr>
        <w:t>An Introduction to Aristotle’s Rhetoric</w:t>
      </w:r>
      <w:r>
        <w:rPr>
          <w:lang w:val="en-GB"/>
        </w:rPr>
        <w:t xml:space="preserve">. London and </w:t>
      </w:r>
      <w:r w:rsidRPr="0088099A">
        <w:rPr>
          <w:lang w:val="en-GB"/>
        </w:rPr>
        <w:t>Cambridge.</w:t>
      </w:r>
    </w:p>
    <w:p w:rsidR="00EA4B46" w:rsidRDefault="00EA4B46" w:rsidP="00EA4B46">
      <w:pPr>
        <w:spacing w:line="360" w:lineRule="auto"/>
        <w:ind w:left="360" w:hanging="360"/>
        <w:jc w:val="both"/>
        <w:rPr>
          <w:lang w:val="en-GB"/>
        </w:rPr>
      </w:pPr>
      <w:r w:rsidRPr="0088099A">
        <w:rPr>
          <w:lang w:val="en-GB"/>
        </w:rPr>
        <w:t>Demoen, K. 1996</w:t>
      </w:r>
      <w:r>
        <w:rPr>
          <w:lang w:val="en-GB"/>
        </w:rPr>
        <w:t>.</w:t>
      </w:r>
      <w:r w:rsidRPr="0088099A">
        <w:rPr>
          <w:lang w:val="en-GB"/>
        </w:rPr>
        <w:t xml:space="preserve"> </w:t>
      </w:r>
      <w:r w:rsidRPr="0088099A">
        <w:rPr>
          <w:i/>
          <w:lang w:val="en-GB"/>
        </w:rPr>
        <w:t xml:space="preserve">Pagan and Biblical Exempla in </w:t>
      </w:r>
      <w:r w:rsidRPr="00C252D6">
        <w:rPr>
          <w:i/>
          <w:lang w:val="en-GB"/>
        </w:rPr>
        <w:t>Gregory Nazianzen. A Study in Rhetoric and Hermeneutics</w:t>
      </w:r>
      <w:r>
        <w:rPr>
          <w:lang w:val="en-GB"/>
        </w:rPr>
        <w:t>. Brepols.</w:t>
      </w:r>
    </w:p>
    <w:p w:rsidR="00EA4B46" w:rsidRDefault="00EA4B46" w:rsidP="00EA4B46">
      <w:pPr>
        <w:spacing w:line="360" w:lineRule="auto"/>
        <w:ind w:left="360" w:hanging="360"/>
        <w:jc w:val="both"/>
        <w:rPr>
          <w:lang w:val="en-GB"/>
        </w:rPr>
      </w:pPr>
      <w:r w:rsidRPr="0088099A">
        <w:rPr>
          <w:lang w:val="en-GB"/>
        </w:rPr>
        <w:t>Demoen</w:t>
      </w:r>
      <w:r w:rsidRPr="00241777">
        <w:rPr>
          <w:lang w:val="en-GB"/>
        </w:rPr>
        <w:t>, K.</w:t>
      </w:r>
      <w:r>
        <w:rPr>
          <w:lang w:val="en-GB"/>
        </w:rPr>
        <w:t xml:space="preserve"> 1997.</w:t>
      </w:r>
      <w:r w:rsidRPr="00241777">
        <w:rPr>
          <w:lang w:val="en-GB"/>
        </w:rPr>
        <w:t xml:space="preserve"> </w:t>
      </w:r>
      <w:r>
        <w:rPr>
          <w:lang w:val="en-GB"/>
        </w:rPr>
        <w:t>“</w:t>
      </w:r>
      <w:r w:rsidRPr="00241777">
        <w:rPr>
          <w:lang w:val="en-GB"/>
        </w:rPr>
        <w:t xml:space="preserve">A Paradigm for the Analysis of Paradigms: the Rhetorical </w:t>
      </w:r>
      <w:r w:rsidRPr="00241777">
        <w:rPr>
          <w:i/>
          <w:lang w:val="en-GB"/>
        </w:rPr>
        <w:t>Exemplum</w:t>
      </w:r>
      <w:r w:rsidRPr="00241777">
        <w:rPr>
          <w:lang w:val="en-GB"/>
        </w:rPr>
        <w:t xml:space="preserve"> </w:t>
      </w:r>
      <w:r>
        <w:rPr>
          <w:lang w:val="en-GB"/>
        </w:rPr>
        <w:t xml:space="preserve">in Ancient and Imperial Greek Theory.” </w:t>
      </w:r>
      <w:r w:rsidRPr="00241777">
        <w:rPr>
          <w:i/>
          <w:lang w:val="en-GB"/>
        </w:rPr>
        <w:t>Rhetorica</w:t>
      </w:r>
      <w:r>
        <w:rPr>
          <w:lang w:val="en-GB"/>
        </w:rPr>
        <w:t xml:space="preserve"> 15(2): 125-58.</w:t>
      </w:r>
    </w:p>
    <w:p w:rsidR="00EA4B46" w:rsidRDefault="00EA4B46" w:rsidP="00EA4B46">
      <w:pPr>
        <w:spacing w:line="360" w:lineRule="auto"/>
        <w:ind w:left="360" w:hanging="360"/>
        <w:jc w:val="both"/>
        <w:rPr>
          <w:lang w:val="en-GB"/>
        </w:rPr>
      </w:pPr>
      <w:r w:rsidRPr="00945FB6">
        <w:rPr>
          <w:lang w:val="en-GB"/>
        </w:rPr>
        <w:t>Dilts</w:t>
      </w:r>
      <w:r>
        <w:rPr>
          <w:lang w:val="en-GB"/>
        </w:rPr>
        <w:t>, M. R. and</w:t>
      </w:r>
      <w:r w:rsidRPr="00945FB6">
        <w:rPr>
          <w:lang w:val="en-GB"/>
        </w:rPr>
        <w:t xml:space="preserve"> Kennedy</w:t>
      </w:r>
      <w:r>
        <w:rPr>
          <w:lang w:val="en-GB"/>
        </w:rPr>
        <w:t xml:space="preserve">, G. A. 1997. </w:t>
      </w:r>
      <w:r w:rsidRPr="001B5EF7">
        <w:rPr>
          <w:i/>
          <w:lang w:val="en-GB"/>
        </w:rPr>
        <w:t>Two Greek Rhetorical Treatises from the Roman Empire. Introduction, Text, and Translation of the Arts of Rhetoric Attributed to Anonymous Seguerianus and to Apsines of Gadara</w:t>
      </w:r>
      <w:r>
        <w:rPr>
          <w:lang w:val="en-GB"/>
        </w:rPr>
        <w:t>. Leiden, New York and Cologne.</w:t>
      </w:r>
    </w:p>
    <w:p w:rsidR="00EA4B46" w:rsidRPr="00EA4B46" w:rsidRDefault="00EA4B46" w:rsidP="00EA4B46">
      <w:pPr>
        <w:spacing w:line="360" w:lineRule="auto"/>
        <w:jc w:val="both"/>
      </w:pPr>
      <w:r w:rsidRPr="00F2047E">
        <w:rPr>
          <w:lang w:val="en-GB"/>
        </w:rPr>
        <w:t xml:space="preserve">Dufour, M. 1967. </w:t>
      </w:r>
      <w:r w:rsidRPr="00F2047E">
        <w:rPr>
          <w:i/>
          <w:lang w:val="en-GB"/>
        </w:rPr>
        <w:t>Aristote. Rhétorique</w:t>
      </w:r>
      <w:r w:rsidRPr="00F2047E">
        <w:rPr>
          <w:lang w:val="en-GB"/>
        </w:rPr>
        <w:t xml:space="preserve">, 3 vols. </w:t>
      </w:r>
      <w:r w:rsidRPr="00EA4B46">
        <w:t>Paris.</w:t>
      </w:r>
    </w:p>
    <w:p w:rsidR="00EA4B46" w:rsidRPr="00F2047E" w:rsidRDefault="00EA4B46" w:rsidP="00EA4B46">
      <w:pPr>
        <w:spacing w:line="360" w:lineRule="auto"/>
        <w:ind w:left="360" w:hanging="360"/>
        <w:jc w:val="both"/>
      </w:pPr>
      <w:r w:rsidRPr="00F2047E">
        <w:t xml:space="preserve">Encinas Reguero, M. C. 2017a. </w:t>
      </w:r>
      <w:r>
        <w:rPr>
          <w:lang w:val="en-GB"/>
        </w:rPr>
        <w:t xml:space="preserve">“The </w:t>
      </w:r>
      <w:r w:rsidRPr="00892CDA">
        <w:rPr>
          <w:i/>
          <w:lang w:val="en-GB"/>
        </w:rPr>
        <w:t>Paradeigma</w:t>
      </w:r>
      <w:r>
        <w:rPr>
          <w:lang w:val="en-GB"/>
        </w:rPr>
        <w:t xml:space="preserve">: Rhetorical Theory and Dramatic Practice in Classical Athens.” In: </w:t>
      </w:r>
      <w:r w:rsidRPr="00892CDA">
        <w:rPr>
          <w:i/>
          <w:lang w:val="en-GB"/>
        </w:rPr>
        <w:t>Connecting Rhetoric and Attic Drama</w:t>
      </w:r>
      <w:r>
        <w:rPr>
          <w:lang w:val="en-GB"/>
        </w:rPr>
        <w:t xml:space="preserve">, eds. </w:t>
      </w:r>
      <w:r w:rsidRPr="00EA4B46">
        <w:rPr>
          <w:lang w:val="en-GB"/>
        </w:rPr>
        <w:t xml:space="preserve">M. Quijada Sagredo and M. C. Encinas Reguero: 43-76. </w:t>
      </w:r>
      <w:r w:rsidRPr="00F2047E">
        <w:t>Bari.</w:t>
      </w:r>
    </w:p>
    <w:p w:rsidR="00EA4B46" w:rsidRPr="00076E03" w:rsidRDefault="00EA4B46" w:rsidP="00EA4B46">
      <w:pPr>
        <w:spacing w:line="360" w:lineRule="auto"/>
        <w:ind w:left="360" w:hanging="360"/>
        <w:jc w:val="both"/>
      </w:pPr>
      <w:r w:rsidRPr="00F2047E">
        <w:t>Encinas Reguero</w:t>
      </w:r>
      <w:r w:rsidRPr="00076E03">
        <w:t>, M.</w:t>
      </w:r>
      <w:r>
        <w:t xml:space="preserve"> </w:t>
      </w:r>
      <w:r w:rsidRPr="00076E03">
        <w:t>C. 2017</w:t>
      </w:r>
      <w:r>
        <w:t xml:space="preserve">b. “El ejemplo y la semejanza en la </w:t>
      </w:r>
      <w:r w:rsidRPr="00076E03">
        <w:rPr>
          <w:i/>
        </w:rPr>
        <w:t>Retórica</w:t>
      </w:r>
      <w:r>
        <w:t xml:space="preserve"> de Aristóteles.” </w:t>
      </w:r>
      <w:r w:rsidRPr="00076E03">
        <w:rPr>
          <w:i/>
        </w:rPr>
        <w:t>Emerita</w:t>
      </w:r>
      <w:r>
        <w:t xml:space="preserve"> 85(2): 241-60.</w:t>
      </w:r>
    </w:p>
    <w:p w:rsidR="00EA4B46" w:rsidRPr="00B37D2B" w:rsidRDefault="00EA4B46" w:rsidP="00EA4B46">
      <w:pPr>
        <w:spacing w:line="360" w:lineRule="auto"/>
        <w:ind w:left="360" w:hanging="360"/>
        <w:jc w:val="both"/>
      </w:pPr>
      <w:r w:rsidRPr="00E9047B">
        <w:t>Ernesti</w:t>
      </w:r>
      <w:r>
        <w:t>, J. C. G.</w:t>
      </w:r>
      <w:r w:rsidRPr="00B37D2B">
        <w:t xml:space="preserve"> 1795</w:t>
      </w:r>
      <w:r>
        <w:t>.</w:t>
      </w:r>
      <w:r w:rsidRPr="00B37D2B">
        <w:t xml:space="preserve"> </w:t>
      </w:r>
      <w:r w:rsidRPr="00B37D2B">
        <w:rPr>
          <w:i/>
        </w:rPr>
        <w:t>Lexicon technologiae graecorum rhetoricae</w:t>
      </w:r>
      <w:r>
        <w:t>.</w:t>
      </w:r>
      <w:r w:rsidRPr="00B37D2B">
        <w:t xml:space="preserve"> L</w:t>
      </w:r>
      <w:r>
        <w:t>eipzig</w:t>
      </w:r>
      <w:r w:rsidRPr="00B37D2B">
        <w:t>.</w:t>
      </w:r>
    </w:p>
    <w:p w:rsidR="00EA4B46" w:rsidRPr="00F3525F" w:rsidRDefault="00EA4B46" w:rsidP="00EA4B46">
      <w:pPr>
        <w:spacing w:line="360" w:lineRule="auto"/>
        <w:jc w:val="both"/>
        <w:rPr>
          <w:lang w:val="en-GB"/>
        </w:rPr>
      </w:pPr>
      <w:r w:rsidRPr="00C129F3">
        <w:t>Fritz</w:t>
      </w:r>
      <w:r>
        <w:t>, K. von.</w:t>
      </w:r>
      <w:r w:rsidRPr="00B83EFF">
        <w:t xml:space="preserve"> 1964</w:t>
      </w:r>
      <w:r>
        <w:t>.</w:t>
      </w:r>
      <w:r w:rsidRPr="00B83EFF">
        <w:t xml:space="preserve"> </w:t>
      </w:r>
      <w:r w:rsidRPr="00EA4B46">
        <w:rPr>
          <w:i/>
        </w:rPr>
        <w:t xml:space="preserve">Die </w:t>
      </w:r>
      <w:r w:rsidRPr="0037671D">
        <w:rPr>
          <w:rFonts w:ascii="GR Times New Roman" w:hAnsi="GR Times New Roman" w:cs="GR Times New Roman"/>
          <w:i/>
          <w:lang w:val="en-GB"/>
        </w:rPr>
        <w:t>ἐπαγ</w:t>
      </w:r>
      <w:r w:rsidRPr="0037671D">
        <w:rPr>
          <w:rFonts w:ascii="GR Times New Roman" w:hAnsi="GR Times New Roman" w:cs="GR Times New Roman"/>
          <w:i/>
          <w:lang w:val="el-GR"/>
        </w:rPr>
        <w:t>ωγή</w:t>
      </w:r>
      <w:r w:rsidRPr="00EA4B46">
        <w:rPr>
          <w:i/>
        </w:rPr>
        <w:t xml:space="preserve"> bei Aristoteles</w:t>
      </w:r>
      <w:r w:rsidRPr="00EA4B46">
        <w:t xml:space="preserve">. </w:t>
      </w:r>
      <w:r w:rsidRPr="00F3525F">
        <w:rPr>
          <w:lang w:val="en-GB"/>
        </w:rPr>
        <w:t>Munich.</w:t>
      </w:r>
    </w:p>
    <w:p w:rsidR="00EA4B46" w:rsidRPr="00C129F3" w:rsidRDefault="00EA4B46" w:rsidP="00EA4B46">
      <w:pPr>
        <w:spacing w:line="360" w:lineRule="auto"/>
        <w:jc w:val="both"/>
        <w:rPr>
          <w:lang w:val="en-GB"/>
        </w:rPr>
      </w:pPr>
      <w:r w:rsidRPr="00F3525F">
        <w:rPr>
          <w:lang w:val="en-GB"/>
        </w:rPr>
        <w:t xml:space="preserve">Fuhrmann, M. 1966. </w:t>
      </w:r>
      <w:r w:rsidRPr="00C129F3">
        <w:rPr>
          <w:i/>
          <w:lang w:val="en-GB"/>
        </w:rPr>
        <w:t>Anaximenis Ars Rhetorica. Quae vulgo fertur Aristotelis ad Alexandrum</w:t>
      </w:r>
      <w:r>
        <w:rPr>
          <w:lang w:val="en-GB"/>
        </w:rPr>
        <w:t>.</w:t>
      </w:r>
      <w:r w:rsidRPr="00C129F3">
        <w:rPr>
          <w:lang w:val="en-GB"/>
        </w:rPr>
        <w:t xml:space="preserve"> Leipzig.</w:t>
      </w:r>
    </w:p>
    <w:p w:rsidR="00EA4B46" w:rsidRPr="00A632C9" w:rsidRDefault="00EA4B46" w:rsidP="00EA4B46">
      <w:pPr>
        <w:spacing w:line="360" w:lineRule="auto"/>
        <w:ind w:left="360" w:hanging="360"/>
        <w:jc w:val="both"/>
        <w:rPr>
          <w:lang w:val="en-GB"/>
        </w:rPr>
      </w:pPr>
      <w:r w:rsidRPr="00C129F3">
        <w:rPr>
          <w:lang w:val="en-GB"/>
        </w:rPr>
        <w:t>Gercke</w:t>
      </w:r>
      <w:r>
        <w:rPr>
          <w:lang w:val="en-GB"/>
        </w:rPr>
        <w:t>, A.</w:t>
      </w:r>
      <w:r w:rsidRPr="00C129F3">
        <w:rPr>
          <w:lang w:val="en-GB"/>
        </w:rPr>
        <w:t xml:space="preserve"> 1897</w:t>
      </w:r>
      <w:r>
        <w:rPr>
          <w:lang w:val="en-GB"/>
        </w:rPr>
        <w:t>.</w:t>
      </w:r>
      <w:r w:rsidRPr="00C129F3">
        <w:rPr>
          <w:lang w:val="en-GB"/>
        </w:rPr>
        <w:t xml:space="preserve"> “Die alte </w:t>
      </w:r>
      <w:r w:rsidRPr="00A632C9">
        <w:rPr>
          <w:i/>
          <w:lang w:val="en-GB"/>
        </w:rPr>
        <w:t>techne rhetorike</w:t>
      </w:r>
      <w:r w:rsidRPr="00A632C9">
        <w:rPr>
          <w:lang w:val="en-GB"/>
        </w:rPr>
        <w:t xml:space="preserve"> und ihre Gegner</w:t>
      </w:r>
      <w:r>
        <w:rPr>
          <w:lang w:val="en-GB"/>
        </w:rPr>
        <w:t>.</w:t>
      </w:r>
      <w:r w:rsidRPr="00A632C9">
        <w:rPr>
          <w:lang w:val="en-GB"/>
        </w:rPr>
        <w:t xml:space="preserve">” </w:t>
      </w:r>
      <w:r w:rsidRPr="00A632C9">
        <w:rPr>
          <w:i/>
          <w:lang w:val="en-GB"/>
        </w:rPr>
        <w:t>Hermes</w:t>
      </w:r>
      <w:r>
        <w:rPr>
          <w:lang w:val="en-GB"/>
        </w:rPr>
        <w:t xml:space="preserve"> 32: 341-</w:t>
      </w:r>
      <w:r w:rsidRPr="00A632C9">
        <w:rPr>
          <w:lang w:val="en-GB"/>
        </w:rPr>
        <w:t>81.</w:t>
      </w:r>
    </w:p>
    <w:p w:rsidR="00EA4B46" w:rsidRDefault="00EA4B46" w:rsidP="00EA4B46">
      <w:pPr>
        <w:spacing w:line="360" w:lineRule="auto"/>
        <w:ind w:left="360" w:hanging="360"/>
        <w:jc w:val="both"/>
        <w:rPr>
          <w:lang w:val="en-GB"/>
        </w:rPr>
      </w:pPr>
      <w:r w:rsidRPr="005A088B">
        <w:rPr>
          <w:lang w:val="en-GB"/>
        </w:rPr>
        <w:t>Hauser</w:t>
      </w:r>
      <w:r>
        <w:rPr>
          <w:lang w:val="en-GB"/>
        </w:rPr>
        <w:t xml:space="preserve">, G. A. 1974. “The Example in Aristotle’s </w:t>
      </w:r>
      <w:r w:rsidRPr="0005049E">
        <w:rPr>
          <w:i/>
          <w:lang w:val="en-GB"/>
        </w:rPr>
        <w:t>Rhetoric</w:t>
      </w:r>
      <w:r>
        <w:rPr>
          <w:lang w:val="en-GB"/>
        </w:rPr>
        <w:t xml:space="preserve">: Bifurcation or Contradiction?.” In: </w:t>
      </w:r>
      <w:r w:rsidRPr="004F6A00">
        <w:rPr>
          <w:i/>
          <w:lang w:val="en-GB"/>
        </w:rPr>
        <w:t>Aristotle: the Classical Heritage of Rhetoric</w:t>
      </w:r>
      <w:r>
        <w:rPr>
          <w:lang w:val="en-GB"/>
        </w:rPr>
        <w:t xml:space="preserve">, ed. K. V. </w:t>
      </w:r>
      <w:r w:rsidRPr="007D7F25">
        <w:rPr>
          <w:lang w:val="en-GB"/>
        </w:rPr>
        <w:t>Erickson</w:t>
      </w:r>
      <w:r>
        <w:rPr>
          <w:lang w:val="en-GB"/>
        </w:rPr>
        <w:t xml:space="preserve">: 156-68. Metuchen, New Jersey (originally published in </w:t>
      </w:r>
      <w:r w:rsidRPr="004F6A00">
        <w:rPr>
          <w:i/>
          <w:lang w:val="en-GB"/>
        </w:rPr>
        <w:t>Philosophy and Rhetoric</w:t>
      </w:r>
      <w:r>
        <w:rPr>
          <w:lang w:val="en-GB"/>
        </w:rPr>
        <w:t xml:space="preserve"> 1, 1968: 78-90).</w:t>
      </w:r>
    </w:p>
    <w:p w:rsidR="00EA4B46" w:rsidRDefault="00EA4B46" w:rsidP="00EA4B46">
      <w:pPr>
        <w:spacing w:line="360" w:lineRule="auto"/>
        <w:ind w:left="360" w:hanging="360"/>
        <w:jc w:val="both"/>
        <w:rPr>
          <w:lang w:val="en-GB"/>
        </w:rPr>
      </w:pPr>
      <w:r w:rsidRPr="00127C18">
        <w:rPr>
          <w:lang w:val="en-GB"/>
        </w:rPr>
        <w:t>Heath</w:t>
      </w:r>
      <w:r>
        <w:rPr>
          <w:lang w:val="en-GB"/>
        </w:rPr>
        <w:t xml:space="preserve">, M. 2002-2003. “Theon and the History of the Progymnasmata.” </w:t>
      </w:r>
      <w:r w:rsidRPr="00281FE9">
        <w:rPr>
          <w:i/>
          <w:lang w:val="en-GB"/>
        </w:rPr>
        <w:t>G</w:t>
      </w:r>
      <w:r>
        <w:rPr>
          <w:i/>
          <w:lang w:val="en-GB"/>
        </w:rPr>
        <w:t xml:space="preserve">reek, </w:t>
      </w:r>
      <w:r w:rsidRPr="00281FE9">
        <w:rPr>
          <w:i/>
          <w:lang w:val="en-GB"/>
        </w:rPr>
        <w:t>R</w:t>
      </w:r>
      <w:r>
        <w:rPr>
          <w:i/>
          <w:lang w:val="en-GB"/>
        </w:rPr>
        <w:t xml:space="preserve">oman and </w:t>
      </w:r>
      <w:r w:rsidRPr="00281FE9">
        <w:rPr>
          <w:i/>
          <w:lang w:val="en-GB"/>
        </w:rPr>
        <w:t>B</w:t>
      </w:r>
      <w:r>
        <w:rPr>
          <w:i/>
          <w:lang w:val="en-GB"/>
        </w:rPr>
        <w:t xml:space="preserve">yzantine </w:t>
      </w:r>
      <w:r w:rsidRPr="00281FE9">
        <w:rPr>
          <w:i/>
          <w:lang w:val="en-GB"/>
        </w:rPr>
        <w:t>S</w:t>
      </w:r>
      <w:r>
        <w:rPr>
          <w:i/>
          <w:lang w:val="en-GB"/>
        </w:rPr>
        <w:t>tudies</w:t>
      </w:r>
      <w:r>
        <w:rPr>
          <w:lang w:val="en-GB"/>
        </w:rPr>
        <w:t xml:space="preserve"> 43(2): 129-60.</w:t>
      </w:r>
    </w:p>
    <w:p w:rsidR="00EA4B46" w:rsidRDefault="00EA4B46" w:rsidP="001B3697">
      <w:pPr>
        <w:spacing w:line="360" w:lineRule="auto"/>
        <w:ind w:left="360" w:hanging="360"/>
        <w:jc w:val="both"/>
        <w:rPr>
          <w:lang w:val="en-GB"/>
        </w:rPr>
      </w:pPr>
      <w:r w:rsidRPr="008D5678">
        <w:rPr>
          <w:lang w:val="en-GB"/>
        </w:rPr>
        <w:t>Hinks</w:t>
      </w:r>
      <w:r>
        <w:rPr>
          <w:lang w:val="en-GB"/>
        </w:rPr>
        <w:t xml:space="preserve">, D. A. G. 1940. “Tisias and Corax and the Invention of Rhetoric.” </w:t>
      </w:r>
      <w:r>
        <w:rPr>
          <w:i/>
          <w:lang w:val="en-GB"/>
        </w:rPr>
        <w:t>Classical Quarterly</w:t>
      </w:r>
      <w:r>
        <w:rPr>
          <w:lang w:val="en-GB"/>
        </w:rPr>
        <w:t xml:space="preserve"> 34: 61-9.</w:t>
      </w:r>
    </w:p>
    <w:p w:rsidR="00EA4B46" w:rsidRDefault="00EA4B46" w:rsidP="00EA4B46">
      <w:pPr>
        <w:spacing w:line="360" w:lineRule="auto"/>
        <w:ind w:left="360" w:hanging="360"/>
        <w:jc w:val="both"/>
        <w:rPr>
          <w:lang w:val="en-GB"/>
        </w:rPr>
      </w:pPr>
      <w:r w:rsidRPr="008D5678">
        <w:rPr>
          <w:lang w:val="en-GB"/>
        </w:rPr>
        <w:t>Jost</w:t>
      </w:r>
      <w:r>
        <w:rPr>
          <w:lang w:val="en-GB"/>
        </w:rPr>
        <w:t xml:space="preserve">, K. 1936. </w:t>
      </w:r>
      <w:r w:rsidRPr="002C17D3">
        <w:rPr>
          <w:i/>
          <w:lang w:val="en-GB"/>
        </w:rPr>
        <w:t>Das Beispiel und Vorbild der Vorfahren bei den attischen Rednern bis Demosthenes</w:t>
      </w:r>
      <w:r>
        <w:rPr>
          <w:lang w:val="en-GB"/>
        </w:rPr>
        <w:t>. Paderborn.</w:t>
      </w:r>
    </w:p>
    <w:p w:rsidR="00EA4B46" w:rsidRDefault="00EA4B46" w:rsidP="00EA4B46">
      <w:pPr>
        <w:spacing w:line="360" w:lineRule="auto"/>
        <w:ind w:left="360" w:hanging="360"/>
        <w:jc w:val="both"/>
        <w:rPr>
          <w:lang w:val="en-GB"/>
        </w:rPr>
      </w:pPr>
      <w:r w:rsidRPr="008D5678">
        <w:rPr>
          <w:lang w:val="en-GB"/>
        </w:rPr>
        <w:t>Kennedy</w:t>
      </w:r>
      <w:r w:rsidRPr="0037090B">
        <w:rPr>
          <w:lang w:val="en-GB"/>
        </w:rPr>
        <w:t>, G.</w:t>
      </w:r>
      <w:r>
        <w:rPr>
          <w:lang w:val="en-GB"/>
        </w:rPr>
        <w:t xml:space="preserve"> </w:t>
      </w:r>
      <w:r w:rsidRPr="0037090B">
        <w:rPr>
          <w:lang w:val="en-GB"/>
        </w:rPr>
        <w:t>A. 1959</w:t>
      </w:r>
      <w:r>
        <w:rPr>
          <w:lang w:val="en-GB"/>
        </w:rPr>
        <w:t>.</w:t>
      </w:r>
      <w:r w:rsidRPr="0037090B">
        <w:rPr>
          <w:lang w:val="en-GB"/>
        </w:rPr>
        <w:t xml:space="preserve"> “The Earliest Rhetorical Handbooks</w:t>
      </w:r>
      <w:r>
        <w:rPr>
          <w:lang w:val="en-GB"/>
        </w:rPr>
        <w:t>.</w:t>
      </w:r>
      <w:r w:rsidRPr="0037090B">
        <w:rPr>
          <w:lang w:val="en-GB"/>
        </w:rPr>
        <w:t>”</w:t>
      </w:r>
      <w:r>
        <w:rPr>
          <w:lang w:val="en-GB"/>
        </w:rPr>
        <w:t xml:space="preserve"> </w:t>
      </w:r>
      <w:r w:rsidRPr="00E60B77">
        <w:rPr>
          <w:i/>
          <w:lang w:val="en-GB"/>
        </w:rPr>
        <w:t>A</w:t>
      </w:r>
      <w:r>
        <w:rPr>
          <w:i/>
          <w:lang w:val="en-GB"/>
        </w:rPr>
        <w:t xml:space="preserve">merican </w:t>
      </w:r>
      <w:r w:rsidRPr="00E60B77">
        <w:rPr>
          <w:i/>
          <w:lang w:val="en-GB"/>
        </w:rPr>
        <w:t>J</w:t>
      </w:r>
      <w:r>
        <w:rPr>
          <w:i/>
          <w:lang w:val="en-GB"/>
        </w:rPr>
        <w:t xml:space="preserve">ournal of </w:t>
      </w:r>
      <w:r w:rsidRPr="00E60B77">
        <w:rPr>
          <w:i/>
          <w:lang w:val="en-GB"/>
        </w:rPr>
        <w:t>Ph</w:t>
      </w:r>
      <w:r>
        <w:rPr>
          <w:i/>
          <w:lang w:val="en-GB"/>
        </w:rPr>
        <w:t>ilology</w:t>
      </w:r>
      <w:r>
        <w:rPr>
          <w:lang w:val="en-GB"/>
        </w:rPr>
        <w:t xml:space="preserve"> 80: 169-78.</w:t>
      </w:r>
    </w:p>
    <w:p w:rsidR="00641868" w:rsidRPr="007B401F" w:rsidRDefault="00641868" w:rsidP="00641868">
      <w:pPr>
        <w:spacing w:line="360" w:lineRule="auto"/>
        <w:ind w:left="360" w:hanging="360"/>
        <w:jc w:val="both"/>
        <w:rPr>
          <w:lang w:val="en-GB"/>
        </w:rPr>
      </w:pPr>
      <w:r w:rsidRPr="008D5678">
        <w:rPr>
          <w:lang w:val="en-GB"/>
        </w:rPr>
        <w:t>Kennedy</w:t>
      </w:r>
      <w:r>
        <w:rPr>
          <w:lang w:val="en-GB"/>
        </w:rPr>
        <w:t xml:space="preserve">, G. A. 1983. </w:t>
      </w:r>
      <w:r w:rsidRPr="00652F6A">
        <w:rPr>
          <w:i/>
          <w:lang w:val="en-GB"/>
        </w:rPr>
        <w:t>Greek Rhetoric under Christian Emperors</w:t>
      </w:r>
      <w:r>
        <w:rPr>
          <w:lang w:val="en-GB"/>
        </w:rPr>
        <w:t>. Princeton, New Jersey.</w:t>
      </w:r>
    </w:p>
    <w:p w:rsidR="00EA4B46" w:rsidRDefault="00EA4B46" w:rsidP="00EA4B46">
      <w:pPr>
        <w:spacing w:line="360" w:lineRule="auto"/>
        <w:ind w:left="360" w:hanging="360"/>
        <w:jc w:val="both"/>
        <w:rPr>
          <w:lang w:val="en-GB"/>
        </w:rPr>
      </w:pPr>
      <w:r w:rsidRPr="008D5678">
        <w:rPr>
          <w:lang w:val="en-GB"/>
        </w:rPr>
        <w:t>Kennedy</w:t>
      </w:r>
      <w:r>
        <w:rPr>
          <w:lang w:val="en-GB"/>
        </w:rPr>
        <w:t xml:space="preserve">, G. A. 1996. “The Composition and Influence of Aristotle’s </w:t>
      </w:r>
      <w:r w:rsidRPr="00440960">
        <w:rPr>
          <w:i/>
          <w:lang w:val="en-GB"/>
        </w:rPr>
        <w:t>Rhetoric</w:t>
      </w:r>
      <w:r>
        <w:rPr>
          <w:i/>
          <w:lang w:val="en-GB"/>
        </w:rPr>
        <w:t>.</w:t>
      </w:r>
      <w:r>
        <w:rPr>
          <w:lang w:val="en-GB"/>
        </w:rPr>
        <w:t xml:space="preserve">” In: </w:t>
      </w:r>
      <w:r w:rsidRPr="00440960">
        <w:rPr>
          <w:i/>
          <w:lang w:val="en-GB"/>
        </w:rPr>
        <w:t>Essays on Aristotle’s Rhetoric</w:t>
      </w:r>
      <w:r>
        <w:rPr>
          <w:lang w:val="en-GB"/>
        </w:rPr>
        <w:t xml:space="preserve">, ed. A. O. </w:t>
      </w:r>
      <w:r w:rsidRPr="00EB290E">
        <w:rPr>
          <w:lang w:val="en-GB"/>
        </w:rPr>
        <w:t>Rorty</w:t>
      </w:r>
      <w:r>
        <w:rPr>
          <w:lang w:val="en-GB"/>
        </w:rPr>
        <w:t>: 416-24. Berkeley, Los Angeles and London.</w:t>
      </w:r>
    </w:p>
    <w:p w:rsidR="00EA4B46" w:rsidRDefault="00EA4B46" w:rsidP="00EA4B46">
      <w:pPr>
        <w:spacing w:line="360" w:lineRule="auto"/>
        <w:ind w:left="360" w:hanging="360"/>
        <w:jc w:val="both"/>
        <w:rPr>
          <w:lang w:val="en-GB"/>
        </w:rPr>
      </w:pPr>
      <w:r w:rsidRPr="00367762">
        <w:rPr>
          <w:lang w:val="en-GB"/>
        </w:rPr>
        <w:t>Kennedy</w:t>
      </w:r>
      <w:r>
        <w:rPr>
          <w:lang w:val="en-GB"/>
        </w:rPr>
        <w:t xml:space="preserve">, G. A. 1997. “Historical Survey of Rhetoric.” In: </w:t>
      </w:r>
      <w:r w:rsidRPr="00352112">
        <w:rPr>
          <w:i/>
          <w:lang w:val="en-GB"/>
        </w:rPr>
        <w:t>Handbook of Classical Rhetoric in the Hellenistic Period 330 B.C. – A.D. 400</w:t>
      </w:r>
      <w:r>
        <w:rPr>
          <w:lang w:val="en-GB"/>
        </w:rPr>
        <w:t>, ed. S. E. Porter: 3-41. Leiden, New York and Cologne.</w:t>
      </w:r>
    </w:p>
    <w:p w:rsidR="00EA4B46" w:rsidRDefault="00EA4B46" w:rsidP="00EA4B46">
      <w:pPr>
        <w:spacing w:line="360" w:lineRule="auto"/>
        <w:ind w:left="360" w:hanging="360"/>
        <w:jc w:val="both"/>
        <w:rPr>
          <w:lang w:val="en-GB"/>
        </w:rPr>
      </w:pPr>
      <w:r w:rsidRPr="00367762">
        <w:rPr>
          <w:lang w:val="en-GB"/>
        </w:rPr>
        <w:t>Kennedy</w:t>
      </w:r>
      <w:r>
        <w:rPr>
          <w:lang w:val="en-GB"/>
        </w:rPr>
        <w:t xml:space="preserve">, G. A. 2003a. “Some Recent Controversies in the Study of Later Greek Rhetoric.” </w:t>
      </w:r>
      <w:r w:rsidRPr="00E60B77">
        <w:rPr>
          <w:i/>
          <w:lang w:val="en-GB"/>
        </w:rPr>
        <w:t>A</w:t>
      </w:r>
      <w:r>
        <w:rPr>
          <w:i/>
          <w:lang w:val="en-GB"/>
        </w:rPr>
        <w:t xml:space="preserve">merican </w:t>
      </w:r>
      <w:r w:rsidRPr="00E60B77">
        <w:rPr>
          <w:i/>
          <w:lang w:val="en-GB"/>
        </w:rPr>
        <w:t>J</w:t>
      </w:r>
      <w:r>
        <w:rPr>
          <w:i/>
          <w:lang w:val="en-GB"/>
        </w:rPr>
        <w:t xml:space="preserve">ournal of </w:t>
      </w:r>
      <w:r w:rsidRPr="00E60B77">
        <w:rPr>
          <w:i/>
          <w:lang w:val="en-GB"/>
        </w:rPr>
        <w:t>Ph</w:t>
      </w:r>
      <w:r>
        <w:rPr>
          <w:i/>
          <w:lang w:val="en-GB"/>
        </w:rPr>
        <w:t>ilology</w:t>
      </w:r>
      <w:r>
        <w:rPr>
          <w:lang w:val="en-GB"/>
        </w:rPr>
        <w:t xml:space="preserve"> 124(2): 295-301.</w:t>
      </w:r>
    </w:p>
    <w:p w:rsidR="00EA4B46" w:rsidRDefault="00EA4B46" w:rsidP="00EA4B46">
      <w:pPr>
        <w:spacing w:line="360" w:lineRule="auto"/>
        <w:ind w:left="360" w:hanging="360"/>
        <w:jc w:val="both"/>
        <w:rPr>
          <w:lang w:val="en-GB"/>
        </w:rPr>
      </w:pPr>
      <w:r w:rsidRPr="00367762">
        <w:rPr>
          <w:lang w:val="en-GB"/>
        </w:rPr>
        <w:t>Kennedy</w:t>
      </w:r>
      <w:r>
        <w:rPr>
          <w:lang w:val="en-GB"/>
        </w:rPr>
        <w:t xml:space="preserve">, G. A. 2003b </w:t>
      </w:r>
      <w:r w:rsidRPr="006903FB">
        <w:rPr>
          <w:i/>
          <w:lang w:val="en-GB"/>
        </w:rPr>
        <w:t>Progymnasmata. Greek Texbooks of Prose Composition and Rhetoric</w:t>
      </w:r>
      <w:r>
        <w:rPr>
          <w:lang w:val="en-GB"/>
        </w:rPr>
        <w:t>. Atlanta.</w:t>
      </w:r>
    </w:p>
    <w:p w:rsidR="00EA4B46" w:rsidRDefault="00EA4B46" w:rsidP="00EA4B46">
      <w:pPr>
        <w:spacing w:line="360" w:lineRule="auto"/>
        <w:ind w:left="360" w:hanging="360"/>
        <w:jc w:val="both"/>
        <w:rPr>
          <w:lang w:val="en-GB"/>
        </w:rPr>
      </w:pPr>
      <w:r w:rsidRPr="003C01D9">
        <w:rPr>
          <w:lang w:val="en-GB"/>
        </w:rPr>
        <w:t>Kraus</w:t>
      </w:r>
      <w:r>
        <w:rPr>
          <w:lang w:val="en-GB"/>
        </w:rPr>
        <w:t>, M.</w:t>
      </w:r>
      <w:r w:rsidRPr="00525836">
        <w:rPr>
          <w:lang w:val="en-GB"/>
        </w:rPr>
        <w:t xml:space="preserve"> 2011</w:t>
      </w:r>
      <w:r>
        <w:rPr>
          <w:lang w:val="en-GB"/>
        </w:rPr>
        <w:t>.</w:t>
      </w:r>
      <w:r w:rsidRPr="00525836">
        <w:rPr>
          <w:lang w:val="en-GB"/>
        </w:rPr>
        <w:t xml:space="preserve"> “How to Classify Means of Persuasion: The </w:t>
      </w:r>
      <w:r w:rsidRPr="00525836">
        <w:rPr>
          <w:i/>
          <w:lang w:val="en-GB"/>
        </w:rPr>
        <w:t>Rhetoric to Alexander</w:t>
      </w:r>
      <w:r w:rsidRPr="00525836">
        <w:rPr>
          <w:lang w:val="en-GB"/>
        </w:rPr>
        <w:t xml:space="preserve"> and </w:t>
      </w:r>
      <w:r>
        <w:rPr>
          <w:lang w:val="en-GB"/>
        </w:rPr>
        <w:t xml:space="preserve">Aristotle on </w:t>
      </w:r>
      <w:r w:rsidRPr="00525836">
        <w:rPr>
          <w:i/>
          <w:lang w:val="en-GB"/>
        </w:rPr>
        <w:t>Pisteis</w:t>
      </w:r>
      <w:r>
        <w:rPr>
          <w:lang w:val="en-GB"/>
        </w:rPr>
        <w:t xml:space="preserve">.” </w:t>
      </w:r>
      <w:r w:rsidRPr="00525836">
        <w:rPr>
          <w:i/>
          <w:lang w:val="en-GB"/>
        </w:rPr>
        <w:t>Rhetorica</w:t>
      </w:r>
      <w:r>
        <w:rPr>
          <w:lang w:val="en-GB"/>
        </w:rPr>
        <w:t xml:space="preserve"> 29(3): 263-79.</w:t>
      </w:r>
    </w:p>
    <w:p w:rsidR="00EA4B46" w:rsidRDefault="00EA4B46" w:rsidP="00EA4B46">
      <w:pPr>
        <w:spacing w:line="360" w:lineRule="auto"/>
        <w:ind w:left="360" w:hanging="360"/>
        <w:jc w:val="both"/>
        <w:rPr>
          <w:lang w:val="en-GB"/>
        </w:rPr>
      </w:pPr>
      <w:r w:rsidRPr="00EF231E">
        <w:rPr>
          <w:lang w:val="en-GB"/>
        </w:rPr>
        <w:t>Martin</w:t>
      </w:r>
      <w:r>
        <w:rPr>
          <w:lang w:val="en-GB"/>
        </w:rPr>
        <w:t xml:space="preserve">, J. 1974. </w:t>
      </w:r>
      <w:r w:rsidRPr="00E30554">
        <w:rPr>
          <w:i/>
          <w:lang w:val="en-GB"/>
        </w:rPr>
        <w:t>Antike Rhetorik. Technik und Methode</w:t>
      </w:r>
      <w:r>
        <w:rPr>
          <w:lang w:val="en-GB"/>
        </w:rPr>
        <w:t>. Munich.</w:t>
      </w:r>
    </w:p>
    <w:p w:rsidR="00EA4B46" w:rsidRPr="008D39D8" w:rsidRDefault="00EA4B46" w:rsidP="00EA4B46">
      <w:pPr>
        <w:spacing w:line="360" w:lineRule="auto"/>
        <w:ind w:left="360" w:hanging="360"/>
        <w:jc w:val="both"/>
        <w:rPr>
          <w:lang w:val="en-GB"/>
        </w:rPr>
      </w:pPr>
      <w:r w:rsidRPr="00EF231E">
        <w:rPr>
          <w:lang w:val="en-GB"/>
        </w:rPr>
        <w:t>Mayhew</w:t>
      </w:r>
      <w:r>
        <w:rPr>
          <w:lang w:val="en-GB"/>
        </w:rPr>
        <w:t>, R. and</w:t>
      </w:r>
      <w:r w:rsidRPr="00EF231E">
        <w:rPr>
          <w:lang w:val="en-GB"/>
        </w:rPr>
        <w:t xml:space="preserve"> Mirhady</w:t>
      </w:r>
      <w:r w:rsidRPr="008D39D8">
        <w:rPr>
          <w:lang w:val="en-GB"/>
        </w:rPr>
        <w:t>, D.</w:t>
      </w:r>
      <w:r>
        <w:rPr>
          <w:lang w:val="en-GB"/>
        </w:rPr>
        <w:t xml:space="preserve"> C.</w:t>
      </w:r>
      <w:r w:rsidRPr="008D39D8">
        <w:rPr>
          <w:lang w:val="en-GB"/>
        </w:rPr>
        <w:t xml:space="preserve"> 2011</w:t>
      </w:r>
      <w:r>
        <w:rPr>
          <w:lang w:val="en-GB"/>
        </w:rPr>
        <w:t>.</w:t>
      </w:r>
      <w:r w:rsidRPr="008D39D8">
        <w:rPr>
          <w:lang w:val="en-GB"/>
        </w:rPr>
        <w:t xml:space="preserve"> </w:t>
      </w:r>
      <w:r w:rsidRPr="008D39D8">
        <w:rPr>
          <w:i/>
          <w:lang w:val="en-GB"/>
        </w:rPr>
        <w:t>Aristotle XVI (Problems. Books 20-38. Rhetoric to Alexander)</w:t>
      </w:r>
      <w:r>
        <w:rPr>
          <w:lang w:val="en-GB"/>
        </w:rPr>
        <w:t>.</w:t>
      </w:r>
      <w:r w:rsidRPr="008D39D8">
        <w:rPr>
          <w:lang w:val="en-GB"/>
        </w:rPr>
        <w:t xml:space="preserve"> Cambridge.</w:t>
      </w:r>
    </w:p>
    <w:p w:rsidR="00EA4B46" w:rsidRDefault="00EA4B46" w:rsidP="00EA4B46">
      <w:pPr>
        <w:spacing w:line="360" w:lineRule="auto"/>
        <w:ind w:left="360" w:hanging="360"/>
        <w:jc w:val="both"/>
        <w:rPr>
          <w:lang w:val="en-GB"/>
        </w:rPr>
      </w:pPr>
      <w:r w:rsidRPr="00F74624">
        <w:rPr>
          <w:lang w:val="en-GB"/>
        </w:rPr>
        <w:t>McCall</w:t>
      </w:r>
      <w:r>
        <w:rPr>
          <w:lang w:val="en-GB"/>
        </w:rPr>
        <w:t xml:space="preserve">, M. H. 1969. </w:t>
      </w:r>
      <w:r w:rsidRPr="00E27F8B">
        <w:rPr>
          <w:i/>
          <w:lang w:val="en-GB"/>
        </w:rPr>
        <w:t>Ancient Rhetorical Theories of Simile and Comparison</w:t>
      </w:r>
      <w:r>
        <w:rPr>
          <w:lang w:val="en-GB"/>
        </w:rPr>
        <w:t>. Cambridge.</w:t>
      </w:r>
    </w:p>
    <w:p w:rsidR="00EA4B46" w:rsidRDefault="00EA4B46" w:rsidP="00EA4B46">
      <w:pPr>
        <w:spacing w:line="360" w:lineRule="auto"/>
        <w:ind w:left="360" w:hanging="360"/>
        <w:jc w:val="both"/>
        <w:rPr>
          <w:lang w:val="en-GB"/>
        </w:rPr>
      </w:pPr>
      <w:r w:rsidRPr="00F74624">
        <w:rPr>
          <w:lang w:val="en-GB"/>
        </w:rPr>
        <w:t>Meador</w:t>
      </w:r>
      <w:r>
        <w:rPr>
          <w:lang w:val="en-GB"/>
        </w:rPr>
        <w:t xml:space="preserve">, P. A. 1964. “Minucian, </w:t>
      </w:r>
      <w:r w:rsidRPr="00A042F0">
        <w:rPr>
          <w:i/>
          <w:lang w:val="en-GB"/>
        </w:rPr>
        <w:t>On Epicheiremes</w:t>
      </w:r>
      <w:r>
        <w:rPr>
          <w:lang w:val="en-GB"/>
        </w:rPr>
        <w:t xml:space="preserve">: An Introduction and a Translation.” </w:t>
      </w:r>
      <w:r w:rsidRPr="00A042F0">
        <w:rPr>
          <w:i/>
          <w:lang w:val="en-GB"/>
        </w:rPr>
        <w:t>Speech Monographs</w:t>
      </w:r>
      <w:r>
        <w:rPr>
          <w:lang w:val="en-GB"/>
        </w:rPr>
        <w:t xml:space="preserve"> 31(1): 54-63.</w:t>
      </w:r>
    </w:p>
    <w:p w:rsidR="00641868" w:rsidRPr="00F3525F" w:rsidRDefault="00641868" w:rsidP="00641868">
      <w:pPr>
        <w:spacing w:line="360" w:lineRule="auto"/>
        <w:ind w:left="360" w:hanging="360"/>
        <w:jc w:val="both"/>
        <w:rPr>
          <w:lang w:val="fr-FR"/>
        </w:rPr>
      </w:pPr>
      <w:r w:rsidRPr="00F74624">
        <w:rPr>
          <w:lang w:val="en-GB"/>
        </w:rPr>
        <w:t>Nadeau</w:t>
      </w:r>
      <w:r>
        <w:rPr>
          <w:lang w:val="en-GB"/>
        </w:rPr>
        <w:t xml:space="preserve">, R. 1959. “Classical Systems of Stases in Greek: Hermagoras to Hermogenes.” </w:t>
      </w:r>
      <w:r w:rsidRPr="00F3525F">
        <w:rPr>
          <w:i/>
          <w:lang w:val="fr-FR"/>
        </w:rPr>
        <w:t>Greek, Roman and Byzantine Studies</w:t>
      </w:r>
      <w:r w:rsidRPr="00F3525F">
        <w:rPr>
          <w:lang w:val="fr-FR"/>
        </w:rPr>
        <w:t xml:space="preserve"> 2(1): 51-71.</w:t>
      </w:r>
    </w:p>
    <w:p w:rsidR="00EA4B46" w:rsidRDefault="00EA4B46" w:rsidP="00EA4B46">
      <w:pPr>
        <w:spacing w:line="360" w:lineRule="auto"/>
        <w:ind w:left="360" w:hanging="360"/>
        <w:jc w:val="both"/>
        <w:rPr>
          <w:lang w:val="fr-FR"/>
        </w:rPr>
      </w:pPr>
      <w:r w:rsidRPr="007529DB">
        <w:rPr>
          <w:lang w:val="fr-FR"/>
        </w:rPr>
        <w:t>Patillon</w:t>
      </w:r>
      <w:r>
        <w:rPr>
          <w:lang w:val="fr-FR"/>
        </w:rPr>
        <w:t>, M.</w:t>
      </w:r>
      <w:r w:rsidRPr="007529DB">
        <w:rPr>
          <w:lang w:val="fr-FR"/>
        </w:rPr>
        <w:t xml:space="preserve"> 2001a</w:t>
      </w:r>
      <w:r>
        <w:rPr>
          <w:lang w:val="fr-FR"/>
        </w:rPr>
        <w:t>.</w:t>
      </w:r>
      <w:r w:rsidRPr="007529DB">
        <w:rPr>
          <w:lang w:val="fr-FR"/>
        </w:rPr>
        <w:t xml:space="preserve"> </w:t>
      </w:r>
      <w:r w:rsidRPr="007529DB">
        <w:rPr>
          <w:i/>
          <w:lang w:val="fr-FR"/>
        </w:rPr>
        <w:t>Apsinès. Art Rhétorique. Problèmes á faux-semblan</w:t>
      </w:r>
      <w:r w:rsidRPr="00995B22">
        <w:rPr>
          <w:i/>
          <w:lang w:val="fr-FR"/>
        </w:rPr>
        <w:t>t</w:t>
      </w:r>
      <w:r>
        <w:rPr>
          <w:lang w:val="fr-FR"/>
        </w:rPr>
        <w:t>. Paris.</w:t>
      </w:r>
    </w:p>
    <w:p w:rsidR="00EA4B46" w:rsidRPr="00995B22" w:rsidRDefault="00EA4B46" w:rsidP="00EA4B46">
      <w:pPr>
        <w:spacing w:line="360" w:lineRule="auto"/>
        <w:ind w:left="360" w:hanging="360"/>
        <w:jc w:val="both"/>
        <w:rPr>
          <w:lang w:val="fr-FR"/>
        </w:rPr>
      </w:pPr>
      <w:r w:rsidRPr="007529DB">
        <w:rPr>
          <w:lang w:val="fr-FR"/>
        </w:rPr>
        <w:t>Patillon</w:t>
      </w:r>
      <w:r>
        <w:rPr>
          <w:lang w:val="fr-FR"/>
        </w:rPr>
        <w:t xml:space="preserve">, M. 2001b. </w:t>
      </w:r>
      <w:r w:rsidRPr="00403050">
        <w:rPr>
          <w:i/>
          <w:lang w:val="fr-FR"/>
        </w:rPr>
        <w:t>Longin. Fragments. Art Rhétorique</w:t>
      </w:r>
      <w:r>
        <w:rPr>
          <w:lang w:val="fr-FR"/>
        </w:rPr>
        <w:t xml:space="preserve"> (with L. Brisson). </w:t>
      </w:r>
      <w:r w:rsidRPr="00403050">
        <w:rPr>
          <w:i/>
          <w:lang w:val="fr-FR"/>
        </w:rPr>
        <w:t>Rufus. Art Rhétorique</w:t>
      </w:r>
      <w:r>
        <w:rPr>
          <w:lang w:val="fr-FR"/>
        </w:rPr>
        <w:t>. Paris.</w:t>
      </w:r>
    </w:p>
    <w:p w:rsidR="00EA4B46" w:rsidRDefault="00EA4B46" w:rsidP="00EA4B46">
      <w:pPr>
        <w:spacing w:line="360" w:lineRule="auto"/>
        <w:ind w:left="360" w:hanging="360"/>
        <w:jc w:val="both"/>
        <w:rPr>
          <w:lang w:val="fr-FR"/>
        </w:rPr>
      </w:pPr>
      <w:r w:rsidRPr="007529DB">
        <w:rPr>
          <w:lang w:val="fr-FR"/>
        </w:rPr>
        <w:t>Patillon</w:t>
      </w:r>
      <w:r>
        <w:rPr>
          <w:lang w:val="fr-FR"/>
        </w:rPr>
        <w:t>, M.</w:t>
      </w:r>
      <w:r w:rsidRPr="00CF77B3">
        <w:rPr>
          <w:lang w:val="fr-FR"/>
        </w:rPr>
        <w:t xml:space="preserve"> 2005</w:t>
      </w:r>
      <w:r>
        <w:rPr>
          <w:lang w:val="fr-FR"/>
        </w:rPr>
        <w:t>.</w:t>
      </w:r>
      <w:r w:rsidRPr="00CF77B3">
        <w:rPr>
          <w:lang w:val="fr-FR"/>
        </w:rPr>
        <w:t xml:space="preserve"> </w:t>
      </w:r>
      <w:r w:rsidRPr="00CF77B3">
        <w:rPr>
          <w:i/>
          <w:lang w:val="fr-FR"/>
        </w:rPr>
        <w:t>Anonyme de Séguier. Art du discours politique</w:t>
      </w:r>
      <w:r>
        <w:rPr>
          <w:lang w:val="fr-FR"/>
        </w:rPr>
        <w:t>. Paris.</w:t>
      </w:r>
    </w:p>
    <w:p w:rsidR="00EA4B46" w:rsidRPr="00F3525F" w:rsidRDefault="00EA4B46" w:rsidP="00EA4B46">
      <w:pPr>
        <w:spacing w:line="360" w:lineRule="auto"/>
        <w:ind w:left="360" w:hanging="360"/>
        <w:jc w:val="both"/>
        <w:rPr>
          <w:lang w:val="en-GB"/>
        </w:rPr>
      </w:pPr>
      <w:r w:rsidRPr="007529DB">
        <w:rPr>
          <w:lang w:val="fr-FR"/>
        </w:rPr>
        <w:t>Patillon</w:t>
      </w:r>
      <w:r>
        <w:rPr>
          <w:lang w:val="fr-FR"/>
        </w:rPr>
        <w:t xml:space="preserve">, M. 2008. </w:t>
      </w:r>
      <w:r w:rsidRPr="006E3955">
        <w:rPr>
          <w:i/>
          <w:lang w:val="fr-FR"/>
        </w:rPr>
        <w:t xml:space="preserve">Anonyme. Préambule à la rhétorique. </w:t>
      </w:r>
      <w:r w:rsidRPr="007529DB">
        <w:rPr>
          <w:i/>
          <w:lang w:val="fr-FR"/>
        </w:rPr>
        <w:t xml:space="preserve">Aphthonios. Progymnasmata. </w:t>
      </w:r>
      <w:r w:rsidRPr="00F3525F">
        <w:rPr>
          <w:i/>
          <w:lang w:val="en-GB"/>
        </w:rPr>
        <w:t>En annexe: Pseudo-Hermogéne. Progymnasmata</w:t>
      </w:r>
      <w:r w:rsidRPr="00F3525F">
        <w:rPr>
          <w:lang w:val="en-GB"/>
        </w:rPr>
        <w:t>. Paris.</w:t>
      </w:r>
    </w:p>
    <w:p w:rsidR="00EA4B46" w:rsidRPr="00BA6D47" w:rsidRDefault="00EA4B46" w:rsidP="00EA4B46">
      <w:pPr>
        <w:spacing w:line="360" w:lineRule="auto"/>
        <w:ind w:left="360" w:hanging="360"/>
        <w:jc w:val="both"/>
        <w:rPr>
          <w:lang w:val="fr-FR"/>
        </w:rPr>
      </w:pPr>
      <w:r w:rsidRPr="007529DB">
        <w:rPr>
          <w:lang w:val="en-GB"/>
        </w:rPr>
        <w:t>Perelman, C. and Olbrechts-Tyteca</w:t>
      </w:r>
      <w:r>
        <w:rPr>
          <w:lang w:val="en-GB"/>
        </w:rPr>
        <w:t>, L.</w:t>
      </w:r>
      <w:r w:rsidRPr="007529DB">
        <w:rPr>
          <w:lang w:val="en-GB"/>
        </w:rPr>
        <w:t xml:space="preserve"> 1969</w:t>
      </w:r>
      <w:r>
        <w:rPr>
          <w:lang w:val="en-GB"/>
        </w:rPr>
        <w:t>.</w:t>
      </w:r>
      <w:r w:rsidRPr="007529DB">
        <w:rPr>
          <w:lang w:val="en-GB"/>
        </w:rPr>
        <w:t xml:space="preserve"> </w:t>
      </w:r>
      <w:r w:rsidRPr="00EA4B46">
        <w:rPr>
          <w:i/>
          <w:lang w:val="en-GB"/>
        </w:rPr>
        <w:t xml:space="preserve">The New Rhetoric. </w:t>
      </w:r>
      <w:r w:rsidRPr="00532116">
        <w:rPr>
          <w:i/>
          <w:lang w:val="fr-FR"/>
        </w:rPr>
        <w:t>A Treatise on Argumentation</w:t>
      </w:r>
      <w:r>
        <w:rPr>
          <w:lang w:val="fr-FR"/>
        </w:rPr>
        <w:t>.</w:t>
      </w:r>
      <w:r w:rsidRPr="00532116">
        <w:rPr>
          <w:lang w:val="fr-FR"/>
        </w:rPr>
        <w:t xml:space="preserve"> London (repr. 1971) (</w:t>
      </w:r>
      <w:r>
        <w:rPr>
          <w:lang w:val="fr-FR"/>
        </w:rPr>
        <w:t>transl. of</w:t>
      </w:r>
      <w:r w:rsidRPr="00532116">
        <w:rPr>
          <w:lang w:val="fr-FR"/>
        </w:rPr>
        <w:t xml:space="preserve"> </w:t>
      </w:r>
      <w:r w:rsidRPr="00BA6D47">
        <w:rPr>
          <w:i/>
          <w:lang w:val="fr-FR"/>
        </w:rPr>
        <w:t>La nouvelle rhétorique</w:t>
      </w:r>
      <w:r>
        <w:rPr>
          <w:i/>
          <w:lang w:val="fr-FR"/>
        </w:rPr>
        <w:t>: Traité de l’Argumentation</w:t>
      </w:r>
      <w:r>
        <w:rPr>
          <w:lang w:val="fr-FR"/>
        </w:rPr>
        <w:t>. Paris, 1958</w:t>
      </w:r>
      <w:r w:rsidRPr="00BA6D47">
        <w:rPr>
          <w:lang w:val="fr-FR"/>
        </w:rPr>
        <w:t>).</w:t>
      </w:r>
    </w:p>
    <w:p w:rsidR="00EA4B46" w:rsidRPr="004A1049" w:rsidRDefault="00EA4B46" w:rsidP="00EA4B46">
      <w:pPr>
        <w:spacing w:line="360" w:lineRule="auto"/>
        <w:ind w:left="360" w:hanging="360"/>
        <w:jc w:val="both"/>
        <w:rPr>
          <w:iCs/>
          <w:lang w:val="fr-FR"/>
        </w:rPr>
      </w:pPr>
      <w:r w:rsidRPr="004A1049">
        <w:rPr>
          <w:iCs/>
          <w:lang w:val="fr-FR"/>
        </w:rPr>
        <w:t xml:space="preserve">Pernot, L. 2005. </w:t>
      </w:r>
      <w:r w:rsidRPr="004A1049">
        <w:rPr>
          <w:i/>
          <w:iCs/>
          <w:lang w:val="fr-FR"/>
        </w:rPr>
        <w:t>Rhetoric in Antiquity</w:t>
      </w:r>
      <w:r w:rsidRPr="004A1049">
        <w:rPr>
          <w:iCs/>
          <w:lang w:val="fr-FR"/>
        </w:rPr>
        <w:t xml:space="preserve">. Washington (transl. of </w:t>
      </w:r>
      <w:r w:rsidRPr="004A1049">
        <w:rPr>
          <w:i/>
          <w:iCs/>
          <w:lang w:val="fr-FR"/>
        </w:rPr>
        <w:t>La Rhétorique dans l’Antiquité</w:t>
      </w:r>
      <w:r w:rsidRPr="004A1049">
        <w:rPr>
          <w:iCs/>
          <w:lang w:val="fr-FR"/>
        </w:rPr>
        <w:t>. Paris, 2000).</w:t>
      </w:r>
    </w:p>
    <w:p w:rsidR="00EA4B46" w:rsidRPr="0022111E" w:rsidRDefault="00EA4B46" w:rsidP="00EA4B46">
      <w:pPr>
        <w:spacing w:line="360" w:lineRule="auto"/>
        <w:ind w:left="360" w:hanging="360"/>
        <w:jc w:val="both"/>
        <w:rPr>
          <w:lang w:val="en-GB"/>
        </w:rPr>
      </w:pPr>
      <w:r w:rsidRPr="004A1049">
        <w:rPr>
          <w:lang w:val="fr-FR"/>
        </w:rPr>
        <w:t xml:space="preserve">Price, B. J. 1975. </w:t>
      </w:r>
      <w:r w:rsidRPr="004A1049">
        <w:rPr>
          <w:i/>
          <w:lang w:val="fr-FR"/>
        </w:rPr>
        <w:t>Paradeigma and Exemplum in Ancient Rhetorical Theory</w:t>
      </w:r>
      <w:r w:rsidRPr="004A1049">
        <w:rPr>
          <w:lang w:val="fr-FR"/>
        </w:rPr>
        <w:t xml:space="preserve">. </w:t>
      </w:r>
      <w:r w:rsidRPr="0022111E">
        <w:rPr>
          <w:lang w:val="en-GB"/>
        </w:rPr>
        <w:t>Diss. University of Califonia</w:t>
      </w:r>
      <w:r>
        <w:rPr>
          <w:lang w:val="en-GB"/>
        </w:rPr>
        <w:t>.</w:t>
      </w:r>
      <w:r w:rsidRPr="0022111E">
        <w:rPr>
          <w:lang w:val="en-GB"/>
        </w:rPr>
        <w:t xml:space="preserve"> Berkeley.</w:t>
      </w:r>
    </w:p>
    <w:p w:rsidR="00EA4B46" w:rsidRPr="00015F12" w:rsidRDefault="00EA4B46" w:rsidP="00EA4B46">
      <w:pPr>
        <w:spacing w:line="360" w:lineRule="auto"/>
        <w:ind w:left="360" w:hanging="360"/>
        <w:jc w:val="both"/>
        <w:rPr>
          <w:lang w:val="en-GB"/>
        </w:rPr>
      </w:pPr>
      <w:r w:rsidRPr="0022111E">
        <w:rPr>
          <w:lang w:val="en-GB"/>
        </w:rPr>
        <w:t xml:space="preserve">Rabe, H. </w:t>
      </w:r>
      <w:r>
        <w:rPr>
          <w:lang w:val="en-GB"/>
        </w:rPr>
        <w:t>and</w:t>
      </w:r>
      <w:r w:rsidRPr="0022111E">
        <w:rPr>
          <w:lang w:val="en-GB"/>
        </w:rPr>
        <w:t xml:space="preserve"> Kennedy</w:t>
      </w:r>
      <w:r w:rsidRPr="00015F12">
        <w:rPr>
          <w:lang w:val="en-GB"/>
        </w:rPr>
        <w:t>, G.</w:t>
      </w:r>
      <w:r>
        <w:rPr>
          <w:lang w:val="en-GB"/>
        </w:rPr>
        <w:t xml:space="preserve"> A.</w:t>
      </w:r>
      <w:r w:rsidRPr="00015F12">
        <w:rPr>
          <w:lang w:val="en-GB"/>
        </w:rPr>
        <w:t xml:space="preserve"> 2005</w:t>
      </w:r>
      <w:r>
        <w:rPr>
          <w:lang w:val="en-GB"/>
        </w:rPr>
        <w:t xml:space="preserve">. </w:t>
      </w:r>
      <w:r w:rsidRPr="00015F12">
        <w:rPr>
          <w:i/>
          <w:lang w:val="en-GB"/>
        </w:rPr>
        <w:t>Invention and Method. Two Rhetorical Treatises from the Hermogenic Corpus</w:t>
      </w:r>
      <w:r>
        <w:rPr>
          <w:lang w:val="en-GB"/>
        </w:rPr>
        <w:t>. Atlanta.</w:t>
      </w:r>
    </w:p>
    <w:p w:rsidR="00EA4B46" w:rsidRPr="00EA4B46" w:rsidRDefault="00EA4B46" w:rsidP="00EA4B46">
      <w:pPr>
        <w:spacing w:line="360" w:lineRule="auto"/>
        <w:ind w:left="360" w:hanging="360"/>
        <w:jc w:val="both"/>
        <w:rPr>
          <w:lang w:val="en-GB"/>
        </w:rPr>
      </w:pPr>
      <w:r w:rsidRPr="0022111E">
        <w:rPr>
          <w:lang w:val="en-GB"/>
        </w:rPr>
        <w:t>Radermacher</w:t>
      </w:r>
      <w:r>
        <w:rPr>
          <w:lang w:val="en-GB"/>
        </w:rPr>
        <w:t>, L.</w:t>
      </w:r>
      <w:r w:rsidRPr="003E42D1">
        <w:rPr>
          <w:lang w:val="en-GB"/>
        </w:rPr>
        <w:t xml:space="preserve"> 1951</w:t>
      </w:r>
      <w:r>
        <w:rPr>
          <w:lang w:val="en-GB"/>
        </w:rPr>
        <w:t>.</w:t>
      </w:r>
      <w:r w:rsidRPr="003E42D1">
        <w:rPr>
          <w:lang w:val="en-GB"/>
        </w:rPr>
        <w:t xml:space="preserve"> </w:t>
      </w:r>
      <w:r w:rsidRPr="003E42D1">
        <w:rPr>
          <w:i/>
          <w:lang w:val="en-GB"/>
        </w:rPr>
        <w:t xml:space="preserve">Artium scriptores. </w:t>
      </w:r>
      <w:r w:rsidRPr="00EA4B46">
        <w:rPr>
          <w:i/>
          <w:lang w:val="en-GB"/>
        </w:rPr>
        <w:t>Reste der voraristotelischen Rhetorik</w:t>
      </w:r>
      <w:r w:rsidRPr="00EA4B46">
        <w:rPr>
          <w:lang w:val="en-GB"/>
        </w:rPr>
        <w:t>. Wien.</w:t>
      </w:r>
    </w:p>
    <w:p w:rsidR="00EA4B46" w:rsidRPr="003E42D1" w:rsidRDefault="00EA4B46" w:rsidP="00EA4B46">
      <w:pPr>
        <w:spacing w:line="360" w:lineRule="auto"/>
        <w:jc w:val="both"/>
        <w:rPr>
          <w:lang w:val="en-GB"/>
        </w:rPr>
      </w:pPr>
      <w:r w:rsidRPr="0022111E">
        <w:rPr>
          <w:lang w:val="en-GB"/>
        </w:rPr>
        <w:t>Rapp</w:t>
      </w:r>
      <w:r>
        <w:rPr>
          <w:lang w:val="en-GB"/>
        </w:rPr>
        <w:t>, C.</w:t>
      </w:r>
      <w:r w:rsidRPr="003E42D1">
        <w:rPr>
          <w:lang w:val="en-GB"/>
        </w:rPr>
        <w:t xml:space="preserve"> 2002</w:t>
      </w:r>
      <w:r>
        <w:rPr>
          <w:lang w:val="en-GB"/>
        </w:rPr>
        <w:t>.</w:t>
      </w:r>
      <w:r w:rsidRPr="003E42D1">
        <w:rPr>
          <w:lang w:val="en-GB"/>
        </w:rPr>
        <w:t xml:space="preserve"> </w:t>
      </w:r>
      <w:r w:rsidRPr="003E42D1">
        <w:rPr>
          <w:i/>
          <w:lang w:val="en-GB"/>
        </w:rPr>
        <w:t>Aristoteles. Rhetorik</w:t>
      </w:r>
      <w:r>
        <w:rPr>
          <w:lang w:val="en-GB"/>
        </w:rPr>
        <w:t>,</w:t>
      </w:r>
      <w:r w:rsidRPr="003E42D1">
        <w:rPr>
          <w:lang w:val="en-GB"/>
        </w:rPr>
        <w:t xml:space="preserve"> Halbband 1</w:t>
      </w:r>
      <w:r>
        <w:rPr>
          <w:lang w:val="en-GB"/>
        </w:rPr>
        <w:t>.</w:t>
      </w:r>
      <w:r w:rsidRPr="003E42D1">
        <w:rPr>
          <w:lang w:val="en-GB"/>
        </w:rPr>
        <w:t xml:space="preserve"> Berlin.</w:t>
      </w:r>
    </w:p>
    <w:p w:rsidR="00EA4B46" w:rsidRPr="004A1049" w:rsidRDefault="00EA4B46" w:rsidP="00EA4B46">
      <w:pPr>
        <w:spacing w:line="360" w:lineRule="auto"/>
        <w:ind w:left="360" w:hanging="360"/>
        <w:jc w:val="both"/>
        <w:rPr>
          <w:lang w:val="fr-FR"/>
        </w:rPr>
      </w:pPr>
      <w:r w:rsidRPr="0022111E">
        <w:rPr>
          <w:lang w:val="en-GB"/>
        </w:rPr>
        <w:t>Reinhardt</w:t>
      </w:r>
      <w:r>
        <w:rPr>
          <w:lang w:val="en-GB"/>
        </w:rPr>
        <w:t>, T. 2007. “Techniques of Proof in 4</w:t>
      </w:r>
      <w:r>
        <w:rPr>
          <w:vertAlign w:val="superscript"/>
          <w:lang w:val="en-GB"/>
        </w:rPr>
        <w:t>th</w:t>
      </w:r>
      <w:r>
        <w:rPr>
          <w:lang w:val="en-GB"/>
        </w:rPr>
        <w:t xml:space="preserve"> Century Rhetoric: Ar. </w:t>
      </w:r>
      <w:r w:rsidRPr="00933B02">
        <w:rPr>
          <w:i/>
          <w:lang w:val="en-GB"/>
        </w:rPr>
        <w:t>Rhet</w:t>
      </w:r>
      <w:r>
        <w:rPr>
          <w:lang w:val="en-GB"/>
        </w:rPr>
        <w:t xml:space="preserve">. 2.23-24 and Pre-aristotelian Rhetorical Theory.” In: </w:t>
      </w:r>
      <w:r w:rsidRPr="00834345">
        <w:rPr>
          <w:i/>
          <w:lang w:val="en-GB"/>
        </w:rPr>
        <w:t xml:space="preserve">Influences on Peripatetic Rhetoric. </w:t>
      </w:r>
      <w:r w:rsidRPr="0022111E">
        <w:rPr>
          <w:i/>
          <w:lang w:val="en-GB"/>
        </w:rPr>
        <w:t>Essays on Honor of William W. Fortenbaugh</w:t>
      </w:r>
      <w:r w:rsidRPr="0022111E">
        <w:rPr>
          <w:lang w:val="en-GB"/>
        </w:rPr>
        <w:t xml:space="preserve">, ed. </w:t>
      </w:r>
      <w:r w:rsidRPr="002F6599">
        <w:rPr>
          <w:lang w:val="en-GB"/>
        </w:rPr>
        <w:t xml:space="preserve">D. C. Mirhady: 87-104. </w:t>
      </w:r>
      <w:r w:rsidRPr="004A1049">
        <w:rPr>
          <w:lang w:val="fr-FR"/>
        </w:rPr>
        <w:t>Leiden and Boston.</w:t>
      </w:r>
    </w:p>
    <w:p w:rsidR="00EA4B46" w:rsidRPr="002F6599" w:rsidRDefault="00EA4B46" w:rsidP="00EA4B46">
      <w:pPr>
        <w:spacing w:line="360" w:lineRule="auto"/>
        <w:ind w:left="360" w:hanging="360"/>
        <w:jc w:val="both"/>
        <w:rPr>
          <w:lang w:val="en-GB"/>
        </w:rPr>
      </w:pPr>
      <w:r w:rsidRPr="002F6599">
        <w:rPr>
          <w:lang w:val="fr-FR"/>
        </w:rPr>
        <w:t>Robert, F. 2016</w:t>
      </w:r>
      <w:r>
        <w:rPr>
          <w:lang w:val="fr-FR"/>
        </w:rPr>
        <w:t>.</w:t>
      </w:r>
      <w:r w:rsidRPr="002F6599">
        <w:rPr>
          <w:lang w:val="fr-FR"/>
        </w:rPr>
        <w:t xml:space="preserve"> “Style didactique et pédagogie par l’exemple dans les Progymnasmata d’Aphthonios</w:t>
      </w:r>
      <w:r>
        <w:rPr>
          <w:lang w:val="fr-FR"/>
        </w:rPr>
        <w:t>.”</w:t>
      </w:r>
      <w:r w:rsidRPr="002F6599">
        <w:rPr>
          <w:lang w:val="fr-FR"/>
        </w:rPr>
        <w:t xml:space="preserve"> </w:t>
      </w:r>
      <w:r>
        <w:rPr>
          <w:lang w:val="fr-FR"/>
        </w:rPr>
        <w:t>I</w:t>
      </w:r>
      <w:r w:rsidRPr="002F6599">
        <w:rPr>
          <w:lang w:val="fr-FR"/>
        </w:rPr>
        <w:t>n</w:t>
      </w:r>
      <w:r>
        <w:rPr>
          <w:lang w:val="fr-FR"/>
        </w:rPr>
        <w:t>:</w:t>
      </w:r>
      <w:r w:rsidRPr="002F6599">
        <w:rPr>
          <w:lang w:val="fr-FR"/>
        </w:rPr>
        <w:t xml:space="preserve"> </w:t>
      </w:r>
      <w:r w:rsidRPr="002F6599">
        <w:rPr>
          <w:i/>
          <w:lang w:val="fr-FR"/>
        </w:rPr>
        <w:t>L’écriture des traités de rhétorique des origines grecques à la Renaissance</w:t>
      </w:r>
      <w:r w:rsidRPr="002F6599">
        <w:rPr>
          <w:lang w:val="fr-FR"/>
        </w:rPr>
        <w:t xml:space="preserve">, </w:t>
      </w:r>
      <w:r>
        <w:rPr>
          <w:lang w:val="fr-FR"/>
        </w:rPr>
        <w:t xml:space="preserve">eds. </w:t>
      </w:r>
      <w:r w:rsidRPr="002F6599">
        <w:rPr>
          <w:lang w:val="en-GB"/>
        </w:rPr>
        <w:t>S. Conte and S. Dubel: 177-90. Bordeaux.</w:t>
      </w:r>
    </w:p>
    <w:p w:rsidR="00EA4B46" w:rsidRDefault="00EA4B46" w:rsidP="00EA4B46">
      <w:pPr>
        <w:spacing w:line="360" w:lineRule="auto"/>
        <w:ind w:left="360" w:hanging="360"/>
        <w:jc w:val="both"/>
        <w:rPr>
          <w:lang w:val="en-GB"/>
        </w:rPr>
      </w:pPr>
      <w:r w:rsidRPr="002F6599">
        <w:rPr>
          <w:lang w:val="en-GB"/>
        </w:rPr>
        <w:t>Russell</w:t>
      </w:r>
      <w:r>
        <w:rPr>
          <w:lang w:val="en-GB"/>
        </w:rPr>
        <w:t xml:space="preserve">, D. A. 1983. </w:t>
      </w:r>
      <w:r w:rsidRPr="00AF1F23">
        <w:rPr>
          <w:i/>
          <w:lang w:val="en-GB"/>
        </w:rPr>
        <w:t>Greek Declamation</w:t>
      </w:r>
      <w:r>
        <w:rPr>
          <w:lang w:val="en-GB"/>
        </w:rPr>
        <w:t>. Cambridge.</w:t>
      </w:r>
    </w:p>
    <w:p w:rsidR="00EA4B46" w:rsidRDefault="00EA4B46" w:rsidP="00EA4B46">
      <w:pPr>
        <w:spacing w:line="360" w:lineRule="auto"/>
        <w:ind w:left="360" w:hanging="360"/>
        <w:jc w:val="both"/>
        <w:rPr>
          <w:lang w:val="en-GB"/>
        </w:rPr>
      </w:pPr>
      <w:r w:rsidRPr="00DC634A">
        <w:rPr>
          <w:lang w:val="en-GB"/>
        </w:rPr>
        <w:t>Schiappa</w:t>
      </w:r>
      <w:r>
        <w:rPr>
          <w:lang w:val="en-GB"/>
        </w:rPr>
        <w:t xml:space="preserve">, E. 1999. </w:t>
      </w:r>
      <w:r>
        <w:rPr>
          <w:i/>
          <w:lang w:val="en-GB"/>
        </w:rPr>
        <w:t>The Beginning of Rhetorical Theory in Classical Greece</w:t>
      </w:r>
      <w:r>
        <w:rPr>
          <w:lang w:val="en-GB"/>
        </w:rPr>
        <w:t>. New Haven and London.</w:t>
      </w:r>
    </w:p>
    <w:p w:rsidR="00EA4B46" w:rsidRPr="00EA4B46" w:rsidRDefault="00EA4B46" w:rsidP="00EA4B46">
      <w:pPr>
        <w:spacing w:line="360" w:lineRule="auto"/>
        <w:ind w:left="360" w:hanging="360"/>
        <w:jc w:val="both"/>
        <w:rPr>
          <w:lang w:val="en-GB"/>
        </w:rPr>
      </w:pPr>
      <w:r w:rsidRPr="00EA4B46">
        <w:rPr>
          <w:lang w:val="en-GB"/>
        </w:rPr>
        <w:t xml:space="preserve">Spengel, L. 1853-1856. </w:t>
      </w:r>
      <w:r w:rsidRPr="00EA4B46">
        <w:rPr>
          <w:i/>
          <w:lang w:val="en-GB"/>
        </w:rPr>
        <w:t>Rhetores graeci</w:t>
      </w:r>
      <w:r w:rsidRPr="00EA4B46">
        <w:rPr>
          <w:lang w:val="en-GB"/>
        </w:rPr>
        <w:t>, 3 vols. Leipzig.</w:t>
      </w:r>
    </w:p>
    <w:p w:rsidR="00EA4B46" w:rsidRDefault="00EA4B46" w:rsidP="00EA4B46">
      <w:pPr>
        <w:spacing w:line="360" w:lineRule="auto"/>
        <w:ind w:left="360" w:hanging="360"/>
        <w:jc w:val="both"/>
        <w:rPr>
          <w:lang w:val="en-GB"/>
        </w:rPr>
      </w:pPr>
      <w:r w:rsidRPr="00DC634A">
        <w:rPr>
          <w:lang w:val="en-GB"/>
        </w:rPr>
        <w:t>Webb</w:t>
      </w:r>
      <w:r>
        <w:rPr>
          <w:lang w:val="en-GB"/>
        </w:rPr>
        <w:t xml:space="preserve">, R. 1997 “Poetry and Rhetoric.” In: </w:t>
      </w:r>
      <w:r w:rsidRPr="00352112">
        <w:rPr>
          <w:i/>
          <w:lang w:val="en-GB"/>
        </w:rPr>
        <w:t>Handbook of Classical Rhetoric in the Hellenistic Period 330 B.C. – A.D. 400</w:t>
      </w:r>
      <w:r>
        <w:rPr>
          <w:lang w:val="en-GB"/>
        </w:rPr>
        <w:t>, ed. S. E. Porter: 339-69. Leiden, New York and Cologne.</w:t>
      </w:r>
    </w:p>
    <w:p w:rsidR="00EA4B46" w:rsidRDefault="00EA4B46" w:rsidP="00EA4B46">
      <w:pPr>
        <w:spacing w:line="360" w:lineRule="auto"/>
        <w:ind w:left="360" w:hanging="360"/>
        <w:jc w:val="both"/>
        <w:rPr>
          <w:lang w:val="en-GB"/>
        </w:rPr>
      </w:pPr>
      <w:r w:rsidRPr="00DC634A">
        <w:rPr>
          <w:lang w:val="en-GB"/>
        </w:rPr>
        <w:t>Webb</w:t>
      </w:r>
      <w:r>
        <w:rPr>
          <w:lang w:val="en-GB"/>
        </w:rPr>
        <w:t xml:space="preserve">, R. 2001. “The </w:t>
      </w:r>
      <w:r w:rsidRPr="00663528">
        <w:rPr>
          <w:i/>
          <w:lang w:val="en-GB"/>
        </w:rPr>
        <w:t>Progymnasmata</w:t>
      </w:r>
      <w:r>
        <w:rPr>
          <w:lang w:val="en-GB"/>
        </w:rPr>
        <w:t xml:space="preserve"> as Practice.” In: </w:t>
      </w:r>
      <w:r w:rsidRPr="00663528">
        <w:rPr>
          <w:i/>
          <w:lang w:val="en-GB"/>
        </w:rPr>
        <w:t>Education in Greek and Roman Antiquity</w:t>
      </w:r>
      <w:r>
        <w:rPr>
          <w:lang w:val="en-GB"/>
        </w:rPr>
        <w:t>, ed. Y. L. Too: 289-316: Leiden, Boston and Cologne.</w:t>
      </w:r>
    </w:p>
    <w:p w:rsidR="00EA4B46" w:rsidRDefault="00EA4B46" w:rsidP="00EA4B46">
      <w:pPr>
        <w:spacing w:line="360" w:lineRule="auto"/>
        <w:ind w:left="360" w:hanging="360"/>
        <w:jc w:val="both"/>
        <w:rPr>
          <w:lang w:val="en-GB"/>
        </w:rPr>
      </w:pPr>
      <w:r w:rsidRPr="00DC634A">
        <w:rPr>
          <w:lang w:val="en-GB"/>
        </w:rPr>
        <w:t>Webb</w:t>
      </w:r>
      <w:r>
        <w:rPr>
          <w:lang w:val="en-GB"/>
        </w:rPr>
        <w:t xml:space="preserve">, R. 2009. </w:t>
      </w:r>
      <w:r w:rsidRPr="00D43297">
        <w:rPr>
          <w:i/>
          <w:lang w:val="en-GB"/>
        </w:rPr>
        <w:t>Ekphrasis, Imagination and Persuasion in Ancient Rhetorical Theory and Practice</w:t>
      </w:r>
      <w:r>
        <w:rPr>
          <w:lang w:val="en-GB"/>
        </w:rPr>
        <w:t>. Farnham and Burlington.</w:t>
      </w:r>
    </w:p>
    <w:p w:rsidR="00EA4B46" w:rsidRDefault="00EA4B46" w:rsidP="007B03CD">
      <w:pPr>
        <w:spacing w:line="360" w:lineRule="auto"/>
        <w:jc w:val="both"/>
        <w:rPr>
          <w:lang w:val="en-GB"/>
        </w:rPr>
      </w:pPr>
      <w:r w:rsidRPr="00DC634A">
        <w:rPr>
          <w:lang w:val="en-GB"/>
        </w:rPr>
        <w:t>Wilcox</w:t>
      </w:r>
      <w:r>
        <w:rPr>
          <w:lang w:val="en-GB"/>
        </w:rPr>
        <w:t xml:space="preserve">, S. 1942. “The Scope of Early Rhetorical Instruction.” </w:t>
      </w:r>
      <w:r w:rsidRPr="004579FF">
        <w:rPr>
          <w:i/>
          <w:lang w:val="en-GB"/>
        </w:rPr>
        <w:t>Harvard Studies in Classical Philology</w:t>
      </w:r>
      <w:r>
        <w:rPr>
          <w:lang w:val="en-GB"/>
        </w:rPr>
        <w:t xml:space="preserve"> 53: 121-55.</w:t>
      </w:r>
    </w:p>
    <w:p w:rsidR="00EA4B46" w:rsidRDefault="00EA4B46">
      <w:pPr>
        <w:spacing w:line="360" w:lineRule="auto"/>
        <w:jc w:val="both"/>
        <w:rPr>
          <w:lang w:val="en-GB"/>
        </w:rPr>
      </w:pPr>
    </w:p>
    <w:p w:rsidR="008335B9" w:rsidRDefault="008335B9" w:rsidP="003E42D1">
      <w:pPr>
        <w:spacing w:line="360" w:lineRule="auto"/>
        <w:ind w:left="360" w:hanging="360"/>
        <w:jc w:val="both"/>
        <w:rPr>
          <w:lang w:val="en-GB"/>
        </w:rPr>
      </w:pPr>
      <w:r>
        <w:rPr>
          <w:lang w:val="en-GB"/>
        </w:rPr>
        <w:t>BIOGRAPHY</w:t>
      </w:r>
    </w:p>
    <w:p w:rsidR="008335B9" w:rsidRPr="003E42D1" w:rsidRDefault="008335B9" w:rsidP="00FF3EB2">
      <w:pPr>
        <w:spacing w:line="360" w:lineRule="auto"/>
        <w:jc w:val="both"/>
        <w:rPr>
          <w:lang w:val="en-GB"/>
        </w:rPr>
      </w:pPr>
      <w:r w:rsidRPr="003E42D1">
        <w:rPr>
          <w:lang w:val="en-GB"/>
        </w:rPr>
        <w:t xml:space="preserve">M. Carmen Encinas Reguero has a Ph. D. in Greek Philology, where her thesis was on the influence of rhetoric on Sophocles’ early tragedies. She held a postdoctoral position at the Ludwig-Maximilians-Universität München (Germany), and currently she is a </w:t>
      </w:r>
      <w:r w:rsidR="006739A5">
        <w:rPr>
          <w:lang w:val="en-GB"/>
        </w:rPr>
        <w:t xml:space="preserve">Senior </w:t>
      </w:r>
      <w:r w:rsidRPr="003E42D1">
        <w:rPr>
          <w:lang w:val="en-GB"/>
        </w:rPr>
        <w:t>Lecturer in the Department of Language and Literature Didactics at the University of the Basque Country (Spain). Her research focuses mainly on Greek rhetoric, tragedy and satyr drama. In these fields she has published numerous articles and book chapters.</w:t>
      </w:r>
    </w:p>
    <w:sectPr w:rsidR="008335B9" w:rsidRPr="003E42D1">
      <w:headerReference w:type="default" r:id="rId7"/>
      <w:pgSz w:w="11906" w:h="16838"/>
      <w:pgMar w:top="1417" w:right="1701" w:bottom="1417" w:left="1701" w:header="708"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1A24" w:rsidRDefault="00981A24">
      <w:r>
        <w:separator/>
      </w:r>
    </w:p>
  </w:endnote>
  <w:endnote w:type="continuationSeparator" w:id="0">
    <w:p w:rsidR="00981A24" w:rsidRDefault="0098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 Times New Roman">
    <w:charset w:val="00"/>
    <w:family w:val="roman"/>
    <w:pitch w:val="variable"/>
    <w:sig w:usb0="E0007BEF" w:usb1="4000387A" w:usb2="0000002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1A24" w:rsidRDefault="00981A24">
      <w:r>
        <w:separator/>
      </w:r>
    </w:p>
  </w:footnote>
  <w:footnote w:type="continuationSeparator" w:id="0">
    <w:p w:rsidR="00981A24" w:rsidRDefault="00981A24">
      <w:r>
        <w:continuationSeparator/>
      </w:r>
    </w:p>
  </w:footnote>
  <w:footnote w:id="1">
    <w:p w:rsidR="00FB1069" w:rsidRPr="003C7826" w:rsidRDefault="00FB1069">
      <w:pPr>
        <w:pStyle w:val="Textonotapie"/>
        <w:jc w:val="both"/>
        <w:rPr>
          <w:sz w:val="20"/>
          <w:szCs w:val="20"/>
          <w:lang w:val="en-GB"/>
        </w:rPr>
      </w:pPr>
      <w:r w:rsidRPr="003C7826">
        <w:rPr>
          <w:rStyle w:val="FootnoteCharacters"/>
          <w:sz w:val="20"/>
          <w:szCs w:val="20"/>
        </w:rPr>
        <w:footnoteRef/>
      </w:r>
      <w:r w:rsidRPr="003C7826">
        <w:rPr>
          <w:sz w:val="20"/>
          <w:szCs w:val="20"/>
          <w:vertAlign w:val="superscript"/>
          <w:lang w:val="en-GB"/>
        </w:rPr>
        <w:t xml:space="preserve"> </w:t>
      </w:r>
      <w:r w:rsidRPr="00FF3EB2">
        <w:rPr>
          <w:sz w:val="20"/>
          <w:szCs w:val="20"/>
          <w:lang w:val="en-GB"/>
        </w:rPr>
        <w:t>This study has been carried out within the framework of a research project funded by the Spanish Ministry of Economy and Competitiveness and the FEDER Funds (FFI2016-79533-P)</w:t>
      </w:r>
      <w:r w:rsidRPr="00D70BB2">
        <w:rPr>
          <w:sz w:val="20"/>
          <w:szCs w:val="20"/>
          <w:lang w:val="en-GB"/>
        </w:rPr>
        <w:t xml:space="preserve"> and a project funded by the UPV/EHU (EHU16/07).</w:t>
      </w:r>
    </w:p>
  </w:footnote>
  <w:footnote w:id="2">
    <w:p w:rsidR="00FB1069" w:rsidRPr="003C7826" w:rsidRDefault="00FB1069" w:rsidP="00AB475E">
      <w:pPr>
        <w:pStyle w:val="Textonotapie"/>
        <w:jc w:val="both"/>
        <w:rPr>
          <w:sz w:val="20"/>
          <w:szCs w:val="20"/>
          <w:lang w:val="en-GB"/>
        </w:rPr>
      </w:pPr>
      <w:r w:rsidRPr="003C7826">
        <w:rPr>
          <w:rStyle w:val="FootnoteCharacters"/>
          <w:sz w:val="20"/>
          <w:szCs w:val="20"/>
        </w:rPr>
        <w:footnoteRef/>
      </w:r>
      <w:r>
        <w:rPr>
          <w:sz w:val="20"/>
          <w:szCs w:val="20"/>
          <w:lang w:val="en-GB"/>
        </w:rPr>
        <w:t xml:space="preserve"> </w:t>
      </w:r>
      <w:r w:rsidRPr="00FF3EB2">
        <w:rPr>
          <w:sz w:val="20"/>
          <w:szCs w:val="20"/>
          <w:lang w:val="en-GB"/>
        </w:rPr>
        <w:t xml:space="preserve">Some authors, as </w:t>
      </w:r>
      <w:r w:rsidRPr="00A55087">
        <w:rPr>
          <w:sz w:val="20"/>
          <w:szCs w:val="20"/>
          <w:lang w:val="en-GB"/>
        </w:rPr>
        <w:t>Cole</w:t>
      </w:r>
      <w:r w:rsidRPr="00FF3EB2">
        <w:rPr>
          <w:sz w:val="20"/>
          <w:szCs w:val="20"/>
          <w:lang w:val="en-GB"/>
        </w:rPr>
        <w:t xml:space="preserve"> </w:t>
      </w:r>
      <w:r>
        <w:rPr>
          <w:sz w:val="20"/>
          <w:szCs w:val="20"/>
          <w:lang w:val="en-GB"/>
        </w:rPr>
        <w:t>(</w:t>
      </w:r>
      <w:r w:rsidRPr="00FF3EB2">
        <w:rPr>
          <w:sz w:val="20"/>
          <w:szCs w:val="20"/>
          <w:lang w:val="en-GB"/>
        </w:rPr>
        <w:t>1991b</w:t>
      </w:r>
      <w:r>
        <w:rPr>
          <w:sz w:val="20"/>
          <w:szCs w:val="20"/>
          <w:lang w:val="en-GB"/>
        </w:rPr>
        <w:t>)</w:t>
      </w:r>
      <w:r w:rsidRPr="00FF3EB2">
        <w:rPr>
          <w:sz w:val="20"/>
          <w:szCs w:val="20"/>
          <w:lang w:val="en-GB"/>
        </w:rPr>
        <w:t xml:space="preserve"> or </w:t>
      </w:r>
      <w:r w:rsidRPr="00A55087">
        <w:rPr>
          <w:sz w:val="20"/>
          <w:szCs w:val="20"/>
          <w:lang w:val="en-GB"/>
        </w:rPr>
        <w:t>Schiappa</w:t>
      </w:r>
      <w:r w:rsidRPr="00FF3EB2">
        <w:rPr>
          <w:sz w:val="20"/>
          <w:szCs w:val="20"/>
          <w:lang w:val="en-GB"/>
        </w:rPr>
        <w:t xml:space="preserve"> </w:t>
      </w:r>
      <w:r>
        <w:rPr>
          <w:sz w:val="20"/>
          <w:szCs w:val="20"/>
          <w:lang w:val="en-GB"/>
        </w:rPr>
        <w:t>(</w:t>
      </w:r>
      <w:r w:rsidRPr="00FF3EB2">
        <w:rPr>
          <w:sz w:val="20"/>
          <w:szCs w:val="20"/>
          <w:lang w:val="en-GB"/>
        </w:rPr>
        <w:t>1999</w:t>
      </w:r>
      <w:r>
        <w:rPr>
          <w:sz w:val="20"/>
          <w:szCs w:val="20"/>
          <w:lang w:val="en-GB"/>
        </w:rPr>
        <w:t>)</w:t>
      </w:r>
      <w:r w:rsidRPr="00FF3EB2">
        <w:rPr>
          <w:sz w:val="20"/>
          <w:szCs w:val="20"/>
          <w:lang w:val="en-GB"/>
        </w:rPr>
        <w:t xml:space="preserve"> place the beginning of rhetoric in the 4</w:t>
      </w:r>
      <w:r w:rsidRPr="00FF3EB2">
        <w:rPr>
          <w:sz w:val="20"/>
          <w:szCs w:val="20"/>
          <w:vertAlign w:val="superscript"/>
          <w:lang w:val="en-GB"/>
        </w:rPr>
        <w:t>th</w:t>
      </w:r>
      <w:r w:rsidRPr="00FF3EB2">
        <w:rPr>
          <w:sz w:val="20"/>
          <w:szCs w:val="20"/>
          <w:lang w:val="en-GB"/>
        </w:rPr>
        <w:t xml:space="preserve"> century BC.</w:t>
      </w:r>
    </w:p>
  </w:footnote>
  <w:footnote w:id="3">
    <w:p w:rsidR="00FB1069" w:rsidRPr="003C7826" w:rsidRDefault="00FB1069" w:rsidP="00AB475E">
      <w:pPr>
        <w:pStyle w:val="Textonotapie"/>
        <w:jc w:val="both"/>
        <w:rPr>
          <w:sz w:val="20"/>
          <w:szCs w:val="20"/>
          <w:lang w:val="en-GB"/>
        </w:rPr>
      </w:pPr>
      <w:r w:rsidRPr="003C7826">
        <w:rPr>
          <w:rStyle w:val="FootnoteCharacters"/>
          <w:sz w:val="20"/>
          <w:szCs w:val="20"/>
        </w:rPr>
        <w:footnoteRef/>
      </w:r>
      <w:r>
        <w:rPr>
          <w:sz w:val="20"/>
          <w:szCs w:val="20"/>
          <w:lang w:val="en-GB"/>
        </w:rPr>
        <w:t xml:space="preserve"> </w:t>
      </w:r>
      <w:r w:rsidRPr="00FF3EB2">
        <w:rPr>
          <w:sz w:val="20"/>
          <w:szCs w:val="20"/>
          <w:lang w:val="en-GB"/>
        </w:rPr>
        <w:t xml:space="preserve">The relation between Corax and Tisias is </w:t>
      </w:r>
      <w:r>
        <w:rPr>
          <w:sz w:val="20"/>
          <w:szCs w:val="20"/>
          <w:lang w:val="en-GB"/>
        </w:rPr>
        <w:t>disputed</w:t>
      </w:r>
      <w:r w:rsidRPr="00FF3EB2">
        <w:rPr>
          <w:sz w:val="20"/>
          <w:szCs w:val="20"/>
          <w:lang w:val="en-GB"/>
        </w:rPr>
        <w:t xml:space="preserve">. Although Corax is mostly considered the inventor of rhetoric and the teacher of Tisias, </w:t>
      </w:r>
      <w:r w:rsidRPr="004A12FD">
        <w:rPr>
          <w:sz w:val="20"/>
          <w:szCs w:val="20"/>
          <w:lang w:val="en-GB"/>
        </w:rPr>
        <w:t>Cole</w:t>
      </w:r>
      <w:r w:rsidRPr="00FF3EB2">
        <w:rPr>
          <w:sz w:val="20"/>
          <w:szCs w:val="20"/>
          <w:lang w:val="en-GB"/>
        </w:rPr>
        <w:t xml:space="preserve"> </w:t>
      </w:r>
      <w:r>
        <w:rPr>
          <w:sz w:val="20"/>
          <w:szCs w:val="20"/>
          <w:lang w:val="en-GB"/>
        </w:rPr>
        <w:t>(</w:t>
      </w:r>
      <w:r w:rsidRPr="00FF3EB2">
        <w:rPr>
          <w:sz w:val="20"/>
          <w:szCs w:val="20"/>
          <w:lang w:val="en-GB"/>
        </w:rPr>
        <w:t>1991a</w:t>
      </w:r>
      <w:r>
        <w:rPr>
          <w:sz w:val="20"/>
          <w:szCs w:val="20"/>
          <w:lang w:val="en-GB"/>
        </w:rPr>
        <w:t>)</w:t>
      </w:r>
      <w:r w:rsidRPr="00FF3EB2">
        <w:rPr>
          <w:sz w:val="20"/>
          <w:szCs w:val="20"/>
          <w:lang w:val="en-GB"/>
        </w:rPr>
        <w:t xml:space="preserve"> 65-84, for example, defends the idea that Corax and Tisias are one and the same person. All the preserved testimonies making reference to Corax and Tisias are collected in </w:t>
      </w:r>
      <w:r w:rsidRPr="004A12FD">
        <w:rPr>
          <w:sz w:val="20"/>
          <w:szCs w:val="20"/>
          <w:lang w:val="en-GB"/>
        </w:rPr>
        <w:t>Radermacher</w:t>
      </w:r>
      <w:r w:rsidRPr="00FF3EB2">
        <w:rPr>
          <w:sz w:val="20"/>
          <w:szCs w:val="20"/>
          <w:lang w:val="en-GB"/>
        </w:rPr>
        <w:t xml:space="preserve"> </w:t>
      </w:r>
      <w:r>
        <w:rPr>
          <w:sz w:val="20"/>
          <w:szCs w:val="20"/>
          <w:lang w:val="en-GB"/>
        </w:rPr>
        <w:t>(</w:t>
      </w:r>
      <w:r w:rsidRPr="00FF3EB2">
        <w:rPr>
          <w:sz w:val="20"/>
          <w:szCs w:val="20"/>
          <w:lang w:val="en-GB"/>
        </w:rPr>
        <w:t>1951</w:t>
      </w:r>
      <w:r>
        <w:rPr>
          <w:sz w:val="20"/>
          <w:szCs w:val="20"/>
          <w:lang w:val="en-GB"/>
        </w:rPr>
        <w:t>)</w:t>
      </w:r>
      <w:r w:rsidRPr="00FF3EB2">
        <w:rPr>
          <w:sz w:val="20"/>
          <w:szCs w:val="20"/>
          <w:lang w:val="en-GB"/>
        </w:rPr>
        <w:t xml:space="preserve"> 28-35.</w:t>
      </w:r>
    </w:p>
  </w:footnote>
  <w:footnote w:id="4">
    <w:p w:rsidR="00FB1069" w:rsidRPr="003C7826" w:rsidRDefault="00FB1069" w:rsidP="00AB475E">
      <w:pPr>
        <w:pStyle w:val="Textonotapie"/>
        <w:jc w:val="both"/>
        <w:rPr>
          <w:sz w:val="20"/>
          <w:szCs w:val="20"/>
          <w:lang w:val="en-GB"/>
        </w:rPr>
      </w:pPr>
      <w:r w:rsidRPr="003C7826">
        <w:rPr>
          <w:rStyle w:val="FootnoteCharacters"/>
          <w:sz w:val="20"/>
          <w:szCs w:val="20"/>
        </w:rPr>
        <w:footnoteRef/>
      </w:r>
      <w:r>
        <w:rPr>
          <w:sz w:val="20"/>
          <w:szCs w:val="20"/>
          <w:lang w:val="en-GB"/>
        </w:rPr>
        <w:t xml:space="preserve"> </w:t>
      </w:r>
      <w:r w:rsidRPr="00FF3EB2">
        <w:rPr>
          <w:sz w:val="20"/>
          <w:szCs w:val="20"/>
          <w:lang w:val="en-GB"/>
        </w:rPr>
        <w:t xml:space="preserve">Although Cicero attributes that information to Aristotle, the stagirite in </w:t>
      </w:r>
      <w:r w:rsidRPr="00FF3EB2">
        <w:rPr>
          <w:i/>
          <w:sz w:val="20"/>
          <w:szCs w:val="20"/>
          <w:lang w:val="en-GB"/>
        </w:rPr>
        <w:t>Rh</w:t>
      </w:r>
      <w:r w:rsidRPr="00FF3EB2">
        <w:rPr>
          <w:sz w:val="20"/>
          <w:szCs w:val="20"/>
          <w:lang w:val="en-GB"/>
        </w:rPr>
        <w:t xml:space="preserve">. 2.24, 1402a18 mentions only Corax, and Plato in </w:t>
      </w:r>
      <w:r w:rsidRPr="00FF3EB2">
        <w:rPr>
          <w:i/>
          <w:sz w:val="20"/>
          <w:szCs w:val="20"/>
          <w:lang w:val="en-GB"/>
        </w:rPr>
        <w:t>Phaedrus</w:t>
      </w:r>
      <w:r w:rsidRPr="00FF3EB2">
        <w:rPr>
          <w:sz w:val="20"/>
          <w:szCs w:val="20"/>
          <w:lang w:val="en-GB"/>
        </w:rPr>
        <w:t xml:space="preserve"> 273c only quotes </w:t>
      </w:r>
      <w:r w:rsidRPr="00D70BB2">
        <w:rPr>
          <w:sz w:val="20"/>
          <w:szCs w:val="20"/>
          <w:lang w:val="en-GB"/>
        </w:rPr>
        <w:t xml:space="preserve">the name of Tisias. But not only Corax and Tisias strive to be the creators of rhetoric. Other fonts, as Diogenes Laërtius 8.57, Sextus Empiricus, </w:t>
      </w:r>
      <w:r w:rsidRPr="00D70BB2">
        <w:rPr>
          <w:i/>
          <w:sz w:val="20"/>
          <w:szCs w:val="20"/>
          <w:lang w:val="en-GB"/>
        </w:rPr>
        <w:t>Against Dogmatists</w:t>
      </w:r>
      <w:r w:rsidRPr="00D70BB2">
        <w:rPr>
          <w:sz w:val="20"/>
          <w:szCs w:val="20"/>
          <w:lang w:val="en-GB"/>
        </w:rPr>
        <w:t xml:space="preserve"> 1.6 (these two authors quote as authority to Aristotle in his </w:t>
      </w:r>
      <w:r>
        <w:rPr>
          <w:sz w:val="20"/>
          <w:szCs w:val="20"/>
          <w:lang w:val="en-GB"/>
        </w:rPr>
        <w:t>work</w:t>
      </w:r>
      <w:r w:rsidRPr="00D70BB2">
        <w:rPr>
          <w:sz w:val="20"/>
          <w:szCs w:val="20"/>
          <w:lang w:val="en-GB"/>
        </w:rPr>
        <w:t xml:space="preserve"> </w:t>
      </w:r>
      <w:r w:rsidRPr="00946E4F">
        <w:rPr>
          <w:i/>
          <w:sz w:val="20"/>
          <w:szCs w:val="20"/>
          <w:lang w:val="en-GB"/>
        </w:rPr>
        <w:t>Sophist</w:t>
      </w:r>
      <w:r w:rsidRPr="00946E4F">
        <w:rPr>
          <w:sz w:val="20"/>
          <w:szCs w:val="20"/>
          <w:lang w:val="en-GB"/>
        </w:rPr>
        <w:t xml:space="preserve">) or Quintilian 3.1.8, attribute the honour to Empedocles. </w:t>
      </w:r>
      <w:r w:rsidRPr="004A12FD">
        <w:rPr>
          <w:sz w:val="20"/>
          <w:szCs w:val="20"/>
          <w:lang w:val="en-GB"/>
        </w:rPr>
        <w:t>Hinks</w:t>
      </w:r>
      <w:r w:rsidRPr="003A54D5">
        <w:rPr>
          <w:sz w:val="20"/>
          <w:szCs w:val="20"/>
          <w:lang w:val="en-GB"/>
        </w:rPr>
        <w:t xml:space="preserve"> </w:t>
      </w:r>
      <w:r>
        <w:rPr>
          <w:sz w:val="20"/>
          <w:szCs w:val="20"/>
          <w:lang w:val="en-GB"/>
        </w:rPr>
        <w:t>(</w:t>
      </w:r>
      <w:r w:rsidRPr="003A54D5">
        <w:rPr>
          <w:sz w:val="20"/>
          <w:szCs w:val="20"/>
          <w:lang w:val="en-GB"/>
        </w:rPr>
        <w:t>1940</w:t>
      </w:r>
      <w:r>
        <w:rPr>
          <w:sz w:val="20"/>
          <w:szCs w:val="20"/>
          <w:lang w:val="en-GB"/>
        </w:rPr>
        <w:t>)</w:t>
      </w:r>
      <w:r w:rsidRPr="003A54D5">
        <w:rPr>
          <w:sz w:val="20"/>
          <w:szCs w:val="20"/>
          <w:lang w:val="en-GB"/>
        </w:rPr>
        <w:t xml:space="preserve"> 61, deals with the issue and defends that the creators of rhetoric were Corax and Tisias, and not Empedocles.</w:t>
      </w:r>
    </w:p>
  </w:footnote>
  <w:footnote w:id="5">
    <w:p w:rsidR="00FB1069" w:rsidRPr="003C7826" w:rsidRDefault="00FB1069" w:rsidP="00AB475E">
      <w:pPr>
        <w:pStyle w:val="Textonotapie"/>
        <w:jc w:val="both"/>
        <w:rPr>
          <w:sz w:val="20"/>
          <w:szCs w:val="20"/>
          <w:lang w:val="en-GB"/>
        </w:rPr>
      </w:pPr>
      <w:r w:rsidRPr="003C7826">
        <w:rPr>
          <w:rStyle w:val="FootnoteCharacters"/>
          <w:sz w:val="20"/>
          <w:szCs w:val="20"/>
        </w:rPr>
        <w:footnoteRef/>
      </w:r>
      <w:r>
        <w:rPr>
          <w:sz w:val="20"/>
          <w:szCs w:val="20"/>
          <w:lang w:val="en-GB"/>
        </w:rPr>
        <w:t xml:space="preserve"> </w:t>
      </w:r>
      <w:r w:rsidRPr="00FF3EB2">
        <w:rPr>
          <w:sz w:val="20"/>
          <w:szCs w:val="20"/>
          <w:lang w:val="en-GB"/>
        </w:rPr>
        <w:t xml:space="preserve">Cf. </w:t>
      </w:r>
      <w:r w:rsidRPr="004A12FD">
        <w:rPr>
          <w:sz w:val="20"/>
          <w:szCs w:val="20"/>
          <w:lang w:val="en-GB"/>
        </w:rPr>
        <w:t>Gercke</w:t>
      </w:r>
      <w:r w:rsidRPr="00FF3EB2">
        <w:rPr>
          <w:sz w:val="20"/>
          <w:szCs w:val="20"/>
          <w:lang w:val="en-GB"/>
        </w:rPr>
        <w:t xml:space="preserve"> </w:t>
      </w:r>
      <w:r>
        <w:rPr>
          <w:sz w:val="20"/>
          <w:szCs w:val="20"/>
          <w:lang w:val="en-GB"/>
        </w:rPr>
        <w:t>(</w:t>
      </w:r>
      <w:r w:rsidRPr="00FF3EB2">
        <w:rPr>
          <w:sz w:val="20"/>
          <w:szCs w:val="20"/>
          <w:lang w:val="en-GB"/>
        </w:rPr>
        <w:t>1897</w:t>
      </w:r>
      <w:r>
        <w:rPr>
          <w:sz w:val="20"/>
          <w:szCs w:val="20"/>
          <w:lang w:val="en-GB"/>
        </w:rPr>
        <w:t>)</w:t>
      </w:r>
      <w:r w:rsidRPr="00FF3EB2">
        <w:rPr>
          <w:sz w:val="20"/>
          <w:szCs w:val="20"/>
          <w:lang w:val="en-GB"/>
        </w:rPr>
        <w:t xml:space="preserve"> 341-359</w:t>
      </w:r>
      <w:r>
        <w:rPr>
          <w:sz w:val="20"/>
          <w:szCs w:val="20"/>
          <w:lang w:val="en-GB"/>
        </w:rPr>
        <w:t>;</w:t>
      </w:r>
      <w:r w:rsidRPr="00FF3EB2">
        <w:rPr>
          <w:sz w:val="20"/>
          <w:szCs w:val="20"/>
          <w:lang w:val="en-GB"/>
        </w:rPr>
        <w:t xml:space="preserve"> </w:t>
      </w:r>
      <w:r w:rsidRPr="004A12FD">
        <w:rPr>
          <w:sz w:val="20"/>
          <w:szCs w:val="20"/>
          <w:lang w:val="en-GB"/>
        </w:rPr>
        <w:t>Cole</w:t>
      </w:r>
      <w:r w:rsidRPr="00FF3EB2">
        <w:rPr>
          <w:sz w:val="20"/>
          <w:szCs w:val="20"/>
          <w:lang w:val="en-GB"/>
        </w:rPr>
        <w:t xml:space="preserve"> </w:t>
      </w:r>
      <w:r>
        <w:rPr>
          <w:sz w:val="20"/>
          <w:szCs w:val="20"/>
          <w:lang w:val="en-GB"/>
        </w:rPr>
        <w:t>(</w:t>
      </w:r>
      <w:r w:rsidRPr="00FF3EB2">
        <w:rPr>
          <w:sz w:val="20"/>
          <w:szCs w:val="20"/>
          <w:lang w:val="en-GB"/>
        </w:rPr>
        <w:t>1991b</w:t>
      </w:r>
      <w:r>
        <w:rPr>
          <w:sz w:val="20"/>
          <w:szCs w:val="20"/>
          <w:lang w:val="en-GB"/>
        </w:rPr>
        <w:t>)</w:t>
      </w:r>
      <w:r w:rsidRPr="00FF3EB2">
        <w:rPr>
          <w:sz w:val="20"/>
          <w:szCs w:val="20"/>
          <w:lang w:val="en-GB"/>
        </w:rPr>
        <w:t xml:space="preserve"> 71-94.</w:t>
      </w:r>
    </w:p>
  </w:footnote>
  <w:footnote w:id="6">
    <w:p w:rsidR="00FB1069" w:rsidRPr="003C7826" w:rsidRDefault="00FB1069" w:rsidP="00AB475E">
      <w:pPr>
        <w:pStyle w:val="Textonotapie"/>
        <w:jc w:val="both"/>
        <w:rPr>
          <w:sz w:val="20"/>
          <w:szCs w:val="20"/>
          <w:lang w:val="en-GB"/>
        </w:rPr>
      </w:pPr>
      <w:r w:rsidRPr="003C7826">
        <w:rPr>
          <w:rStyle w:val="FootnoteCharacters"/>
          <w:sz w:val="20"/>
          <w:szCs w:val="20"/>
        </w:rPr>
        <w:footnoteRef/>
      </w:r>
      <w:r>
        <w:rPr>
          <w:sz w:val="20"/>
          <w:szCs w:val="20"/>
          <w:lang w:val="en-GB"/>
        </w:rPr>
        <w:t xml:space="preserve"> </w:t>
      </w:r>
      <w:r w:rsidRPr="00FF3EB2">
        <w:rPr>
          <w:sz w:val="20"/>
          <w:szCs w:val="20"/>
          <w:lang w:val="en-GB"/>
        </w:rPr>
        <w:t xml:space="preserve">Cf. </w:t>
      </w:r>
      <w:r w:rsidRPr="004A12FD">
        <w:rPr>
          <w:sz w:val="20"/>
          <w:szCs w:val="20"/>
          <w:lang w:val="en-GB"/>
        </w:rPr>
        <w:t>Wilcox</w:t>
      </w:r>
      <w:r w:rsidRPr="00FF3EB2">
        <w:rPr>
          <w:sz w:val="20"/>
          <w:szCs w:val="20"/>
          <w:lang w:val="en-GB"/>
        </w:rPr>
        <w:t xml:space="preserve"> </w:t>
      </w:r>
      <w:r>
        <w:rPr>
          <w:sz w:val="20"/>
          <w:szCs w:val="20"/>
          <w:lang w:val="en-GB"/>
        </w:rPr>
        <w:t>(</w:t>
      </w:r>
      <w:r w:rsidRPr="00FF3EB2">
        <w:rPr>
          <w:sz w:val="20"/>
          <w:szCs w:val="20"/>
          <w:lang w:val="en-GB"/>
        </w:rPr>
        <w:t>1942</w:t>
      </w:r>
      <w:r>
        <w:rPr>
          <w:sz w:val="20"/>
          <w:szCs w:val="20"/>
          <w:lang w:val="en-GB"/>
        </w:rPr>
        <w:t>)</w:t>
      </w:r>
      <w:r w:rsidRPr="00FF3EB2">
        <w:rPr>
          <w:sz w:val="20"/>
          <w:szCs w:val="20"/>
          <w:lang w:val="en-GB"/>
        </w:rPr>
        <w:t xml:space="preserve"> 137-141</w:t>
      </w:r>
      <w:r>
        <w:rPr>
          <w:sz w:val="20"/>
          <w:szCs w:val="20"/>
          <w:lang w:val="en-GB"/>
        </w:rPr>
        <w:t>;</w:t>
      </w:r>
      <w:r w:rsidRPr="00FF3EB2">
        <w:rPr>
          <w:sz w:val="20"/>
          <w:szCs w:val="20"/>
          <w:lang w:val="en-GB"/>
        </w:rPr>
        <w:t xml:space="preserve"> </w:t>
      </w:r>
      <w:r w:rsidRPr="004A12FD">
        <w:rPr>
          <w:sz w:val="20"/>
          <w:szCs w:val="20"/>
          <w:lang w:val="en-GB"/>
        </w:rPr>
        <w:t>Reinhardt</w:t>
      </w:r>
      <w:r w:rsidRPr="00FF3EB2">
        <w:rPr>
          <w:sz w:val="20"/>
          <w:szCs w:val="20"/>
          <w:lang w:val="en-GB"/>
        </w:rPr>
        <w:t xml:space="preserve"> </w:t>
      </w:r>
      <w:r>
        <w:rPr>
          <w:sz w:val="20"/>
          <w:szCs w:val="20"/>
          <w:lang w:val="en-GB"/>
        </w:rPr>
        <w:t>(</w:t>
      </w:r>
      <w:r w:rsidRPr="00FF3EB2">
        <w:rPr>
          <w:sz w:val="20"/>
          <w:szCs w:val="20"/>
          <w:lang w:val="en-GB"/>
        </w:rPr>
        <w:t>2007</w:t>
      </w:r>
      <w:r>
        <w:rPr>
          <w:sz w:val="20"/>
          <w:szCs w:val="20"/>
          <w:lang w:val="en-GB"/>
        </w:rPr>
        <w:t>)</w:t>
      </w:r>
      <w:r w:rsidRPr="00FF3EB2">
        <w:rPr>
          <w:sz w:val="20"/>
          <w:szCs w:val="20"/>
          <w:lang w:val="en-GB"/>
        </w:rPr>
        <w:t>.</w:t>
      </w:r>
    </w:p>
  </w:footnote>
  <w:footnote w:id="7">
    <w:p w:rsidR="00FB1069" w:rsidRPr="00AB475E" w:rsidRDefault="00FB1069" w:rsidP="00AB475E">
      <w:pPr>
        <w:pStyle w:val="Textonotapie"/>
        <w:jc w:val="both"/>
        <w:rPr>
          <w:sz w:val="20"/>
          <w:szCs w:val="20"/>
          <w:lang w:val="en-GB"/>
        </w:rPr>
      </w:pPr>
      <w:r w:rsidRPr="003C7826">
        <w:rPr>
          <w:rStyle w:val="FootnoteCharacters"/>
          <w:sz w:val="20"/>
          <w:szCs w:val="20"/>
        </w:rPr>
        <w:footnoteRef/>
      </w:r>
      <w:r w:rsidRPr="00AB475E">
        <w:rPr>
          <w:sz w:val="20"/>
          <w:szCs w:val="20"/>
          <w:lang w:val="en-GB"/>
        </w:rPr>
        <w:t xml:space="preserve"> Cf. </w:t>
      </w:r>
      <w:r w:rsidRPr="00AB475E">
        <w:rPr>
          <w:iCs/>
          <w:sz w:val="20"/>
          <w:szCs w:val="20"/>
          <w:lang w:val="en-GB"/>
        </w:rPr>
        <w:t>Kennedy (1959).</w:t>
      </w:r>
    </w:p>
  </w:footnote>
  <w:footnote w:id="8">
    <w:p w:rsidR="00FB1069" w:rsidRPr="003C7826" w:rsidRDefault="00FB1069" w:rsidP="00AB475E">
      <w:pPr>
        <w:pStyle w:val="Textonotapie"/>
        <w:jc w:val="both"/>
        <w:rPr>
          <w:sz w:val="20"/>
          <w:szCs w:val="20"/>
          <w:lang w:val="en-GB"/>
        </w:rPr>
      </w:pPr>
      <w:r w:rsidRPr="003C7826">
        <w:rPr>
          <w:rStyle w:val="FootnoteCharacters"/>
          <w:sz w:val="20"/>
          <w:szCs w:val="20"/>
        </w:rPr>
        <w:footnoteRef/>
      </w:r>
      <w:r>
        <w:rPr>
          <w:sz w:val="20"/>
          <w:szCs w:val="20"/>
          <w:lang w:val="en-GB"/>
        </w:rPr>
        <w:t xml:space="preserve"> </w:t>
      </w:r>
      <w:r w:rsidRPr="00FF3EB2">
        <w:rPr>
          <w:sz w:val="20"/>
          <w:szCs w:val="20"/>
          <w:lang w:val="en-GB"/>
        </w:rPr>
        <w:t xml:space="preserve">On the authorship of the </w:t>
      </w:r>
      <w:r w:rsidRPr="00FF3EB2">
        <w:rPr>
          <w:i/>
          <w:sz w:val="20"/>
          <w:szCs w:val="20"/>
          <w:lang w:val="en-GB"/>
        </w:rPr>
        <w:t>Rhetoric to Alexander</w:t>
      </w:r>
      <w:r w:rsidRPr="00FF3EB2">
        <w:rPr>
          <w:sz w:val="20"/>
          <w:szCs w:val="20"/>
          <w:lang w:val="en-GB"/>
        </w:rPr>
        <w:t xml:space="preserve">, cf. </w:t>
      </w:r>
      <w:r w:rsidRPr="00EC0505">
        <w:rPr>
          <w:sz w:val="20"/>
          <w:szCs w:val="20"/>
          <w:lang w:val="en-GB"/>
        </w:rPr>
        <w:t>Cope</w:t>
      </w:r>
      <w:r w:rsidRPr="00FF3EB2">
        <w:rPr>
          <w:sz w:val="20"/>
          <w:szCs w:val="20"/>
          <w:lang w:val="en-GB"/>
        </w:rPr>
        <w:t xml:space="preserve"> </w:t>
      </w:r>
      <w:r>
        <w:rPr>
          <w:sz w:val="20"/>
          <w:szCs w:val="20"/>
          <w:lang w:val="en-GB"/>
        </w:rPr>
        <w:t>(</w:t>
      </w:r>
      <w:r w:rsidRPr="00FF3EB2">
        <w:rPr>
          <w:sz w:val="20"/>
          <w:szCs w:val="20"/>
          <w:lang w:val="en-GB"/>
        </w:rPr>
        <w:t>1867</w:t>
      </w:r>
      <w:r>
        <w:rPr>
          <w:sz w:val="20"/>
          <w:szCs w:val="20"/>
          <w:lang w:val="en-GB"/>
        </w:rPr>
        <w:t>)</w:t>
      </w:r>
      <w:r w:rsidRPr="00FF3EB2">
        <w:rPr>
          <w:sz w:val="20"/>
          <w:szCs w:val="20"/>
          <w:lang w:val="en-GB"/>
        </w:rPr>
        <w:t xml:space="preserve"> 406-414</w:t>
      </w:r>
      <w:r>
        <w:rPr>
          <w:sz w:val="20"/>
          <w:szCs w:val="20"/>
          <w:lang w:val="en-GB"/>
        </w:rPr>
        <w:t>;</w:t>
      </w:r>
      <w:r w:rsidRPr="00FF3EB2">
        <w:rPr>
          <w:sz w:val="20"/>
          <w:szCs w:val="20"/>
          <w:lang w:val="en-GB"/>
        </w:rPr>
        <w:t xml:space="preserve"> </w:t>
      </w:r>
      <w:r w:rsidRPr="00EC0505">
        <w:rPr>
          <w:sz w:val="20"/>
          <w:szCs w:val="20"/>
          <w:lang w:val="en-GB"/>
        </w:rPr>
        <w:t>Chiron</w:t>
      </w:r>
      <w:r w:rsidRPr="00FF3EB2">
        <w:rPr>
          <w:sz w:val="20"/>
          <w:szCs w:val="20"/>
          <w:lang w:val="en-GB"/>
        </w:rPr>
        <w:t xml:space="preserve"> </w:t>
      </w:r>
      <w:r>
        <w:rPr>
          <w:sz w:val="20"/>
          <w:szCs w:val="20"/>
          <w:lang w:val="en-GB"/>
        </w:rPr>
        <w:t>(</w:t>
      </w:r>
      <w:r w:rsidRPr="00FF3EB2">
        <w:rPr>
          <w:sz w:val="20"/>
          <w:szCs w:val="20"/>
          <w:lang w:val="en-GB"/>
        </w:rPr>
        <w:t>2002</w:t>
      </w:r>
      <w:r>
        <w:rPr>
          <w:sz w:val="20"/>
          <w:szCs w:val="20"/>
          <w:lang w:val="en-GB"/>
        </w:rPr>
        <w:t>)</w:t>
      </w:r>
      <w:r w:rsidRPr="00FF3EB2">
        <w:rPr>
          <w:sz w:val="20"/>
          <w:szCs w:val="20"/>
          <w:lang w:val="en-GB"/>
        </w:rPr>
        <w:t xml:space="preserve"> xl-cvii.</w:t>
      </w:r>
    </w:p>
  </w:footnote>
  <w:footnote w:id="9">
    <w:p w:rsidR="00FB1069" w:rsidRPr="003C7826" w:rsidRDefault="00FB1069" w:rsidP="00AB475E">
      <w:pPr>
        <w:jc w:val="both"/>
        <w:rPr>
          <w:sz w:val="20"/>
          <w:szCs w:val="20"/>
          <w:lang w:val="en-GB"/>
        </w:rPr>
      </w:pPr>
      <w:r w:rsidRPr="003C7826">
        <w:rPr>
          <w:rStyle w:val="FootnoteCharacters"/>
          <w:sz w:val="20"/>
          <w:szCs w:val="20"/>
        </w:rPr>
        <w:footnoteRef/>
      </w:r>
      <w:r>
        <w:rPr>
          <w:sz w:val="20"/>
          <w:szCs w:val="20"/>
          <w:lang w:val="en-GB"/>
        </w:rPr>
        <w:t xml:space="preserve"> </w:t>
      </w:r>
      <w:r w:rsidRPr="00FF3EB2">
        <w:rPr>
          <w:sz w:val="20"/>
          <w:szCs w:val="20"/>
          <w:lang w:val="en-GB"/>
        </w:rPr>
        <w:t xml:space="preserve">Due mainly to the mention of certain historical facts and to the political atmosphere reflected in the </w:t>
      </w:r>
      <w:r>
        <w:rPr>
          <w:sz w:val="20"/>
          <w:szCs w:val="20"/>
          <w:lang w:val="en-GB"/>
        </w:rPr>
        <w:t>work</w:t>
      </w:r>
      <w:r w:rsidRPr="00FF3EB2">
        <w:rPr>
          <w:sz w:val="20"/>
          <w:szCs w:val="20"/>
          <w:lang w:val="en-GB"/>
        </w:rPr>
        <w:t xml:space="preserve">, it is believed that the </w:t>
      </w:r>
      <w:r w:rsidRPr="00D70BB2">
        <w:rPr>
          <w:i/>
          <w:sz w:val="20"/>
          <w:szCs w:val="20"/>
          <w:lang w:val="en-GB"/>
        </w:rPr>
        <w:t>Rhetoric to Alexander</w:t>
      </w:r>
      <w:r>
        <w:rPr>
          <w:sz w:val="20"/>
          <w:szCs w:val="20"/>
          <w:lang w:val="en-GB"/>
        </w:rPr>
        <w:t xml:space="preserve"> was written ca. 340 BC; </w:t>
      </w:r>
      <w:r w:rsidRPr="00D70BB2">
        <w:rPr>
          <w:sz w:val="20"/>
          <w:szCs w:val="20"/>
          <w:lang w:val="en-GB"/>
        </w:rPr>
        <w:t xml:space="preserve">cf. </w:t>
      </w:r>
      <w:r w:rsidRPr="00EC0505">
        <w:rPr>
          <w:sz w:val="20"/>
          <w:szCs w:val="20"/>
          <w:lang w:val="en-GB"/>
        </w:rPr>
        <w:t>Chiron</w:t>
      </w:r>
      <w:r w:rsidRPr="00D70BB2">
        <w:rPr>
          <w:sz w:val="20"/>
          <w:szCs w:val="20"/>
          <w:lang w:val="en-GB"/>
        </w:rPr>
        <w:t xml:space="preserve"> </w:t>
      </w:r>
      <w:r>
        <w:rPr>
          <w:sz w:val="20"/>
          <w:szCs w:val="20"/>
          <w:lang w:val="en-GB"/>
        </w:rPr>
        <w:t>(</w:t>
      </w:r>
      <w:r w:rsidRPr="00D70BB2">
        <w:rPr>
          <w:sz w:val="20"/>
          <w:szCs w:val="20"/>
          <w:lang w:val="en-GB"/>
        </w:rPr>
        <w:t>2011a</w:t>
      </w:r>
      <w:r>
        <w:rPr>
          <w:sz w:val="20"/>
          <w:szCs w:val="20"/>
          <w:lang w:val="en-GB"/>
        </w:rPr>
        <w:t>)</w:t>
      </w:r>
      <w:r w:rsidRPr="00D70BB2">
        <w:rPr>
          <w:sz w:val="20"/>
          <w:szCs w:val="20"/>
          <w:lang w:val="en-GB"/>
        </w:rPr>
        <w:t xml:space="preserve"> 240-241. </w:t>
      </w:r>
      <w:r w:rsidRPr="00946E4F">
        <w:rPr>
          <w:sz w:val="20"/>
          <w:szCs w:val="20"/>
          <w:lang w:val="en-GB"/>
        </w:rPr>
        <w:t xml:space="preserve">For </w:t>
      </w:r>
      <w:r w:rsidRPr="003C7826">
        <w:rPr>
          <w:sz w:val="20"/>
          <w:szCs w:val="20"/>
          <w:lang w:val="en-GB"/>
        </w:rPr>
        <w:t xml:space="preserve">its part, it seems that Aristotle’s </w:t>
      </w:r>
      <w:r w:rsidRPr="003C7826">
        <w:rPr>
          <w:i/>
          <w:sz w:val="20"/>
          <w:szCs w:val="20"/>
          <w:lang w:val="en-GB"/>
        </w:rPr>
        <w:t>Rhetoric</w:t>
      </w:r>
      <w:r w:rsidRPr="003C7826">
        <w:rPr>
          <w:sz w:val="20"/>
          <w:szCs w:val="20"/>
          <w:lang w:val="en-GB"/>
        </w:rPr>
        <w:t xml:space="preserve"> was written in phases (cf. </w:t>
      </w:r>
      <w:r w:rsidRPr="00EC0505">
        <w:rPr>
          <w:sz w:val="20"/>
          <w:szCs w:val="20"/>
          <w:lang w:val="en-GB"/>
        </w:rPr>
        <w:t>Kennedy</w:t>
      </w:r>
      <w:r w:rsidRPr="003C7826">
        <w:rPr>
          <w:sz w:val="20"/>
          <w:szCs w:val="20"/>
          <w:lang w:val="en-GB"/>
        </w:rPr>
        <w:t xml:space="preserve">, 1996) over a period from 350 to 330 BC; cf. </w:t>
      </w:r>
      <w:r w:rsidRPr="00EC0505">
        <w:rPr>
          <w:sz w:val="20"/>
          <w:szCs w:val="20"/>
          <w:lang w:val="en-GB"/>
        </w:rPr>
        <w:t>Cope</w:t>
      </w:r>
      <w:r w:rsidRPr="003C7826">
        <w:rPr>
          <w:sz w:val="20"/>
          <w:szCs w:val="20"/>
          <w:lang w:val="en-GB"/>
        </w:rPr>
        <w:t xml:space="preserve"> </w:t>
      </w:r>
      <w:r>
        <w:rPr>
          <w:sz w:val="20"/>
          <w:szCs w:val="20"/>
          <w:lang w:val="en-GB"/>
        </w:rPr>
        <w:t>(</w:t>
      </w:r>
      <w:r w:rsidRPr="003C7826">
        <w:rPr>
          <w:sz w:val="20"/>
          <w:szCs w:val="20"/>
          <w:lang w:val="en-GB"/>
        </w:rPr>
        <w:t>1867</w:t>
      </w:r>
      <w:r>
        <w:rPr>
          <w:sz w:val="20"/>
          <w:szCs w:val="20"/>
          <w:lang w:val="en-GB"/>
        </w:rPr>
        <w:t>)</w:t>
      </w:r>
      <w:r w:rsidRPr="003C7826">
        <w:rPr>
          <w:sz w:val="20"/>
          <w:szCs w:val="20"/>
          <w:lang w:val="en-GB"/>
        </w:rPr>
        <w:t xml:space="preserve"> 36-49</w:t>
      </w:r>
      <w:r>
        <w:rPr>
          <w:sz w:val="20"/>
          <w:szCs w:val="20"/>
          <w:lang w:val="en-GB"/>
        </w:rPr>
        <w:t>;</w:t>
      </w:r>
      <w:r w:rsidRPr="003C7826">
        <w:rPr>
          <w:sz w:val="20"/>
          <w:szCs w:val="20"/>
          <w:lang w:val="en-GB"/>
        </w:rPr>
        <w:t xml:space="preserve"> </w:t>
      </w:r>
      <w:r w:rsidRPr="00EC0505">
        <w:rPr>
          <w:sz w:val="20"/>
          <w:szCs w:val="20"/>
          <w:lang w:val="en-GB"/>
        </w:rPr>
        <w:t>Rapp</w:t>
      </w:r>
      <w:r w:rsidRPr="003C7826">
        <w:rPr>
          <w:sz w:val="20"/>
          <w:szCs w:val="20"/>
          <w:lang w:val="en-GB"/>
        </w:rPr>
        <w:t xml:space="preserve"> </w:t>
      </w:r>
      <w:r>
        <w:rPr>
          <w:sz w:val="20"/>
          <w:szCs w:val="20"/>
          <w:lang w:val="en-GB"/>
        </w:rPr>
        <w:t>(</w:t>
      </w:r>
      <w:r w:rsidRPr="003C7826">
        <w:rPr>
          <w:sz w:val="20"/>
          <w:szCs w:val="20"/>
          <w:lang w:val="en-GB"/>
        </w:rPr>
        <w:t>2002</w:t>
      </w:r>
      <w:r>
        <w:rPr>
          <w:sz w:val="20"/>
          <w:szCs w:val="20"/>
          <w:lang w:val="en-GB"/>
        </w:rPr>
        <w:t>)</w:t>
      </w:r>
      <w:r w:rsidRPr="003C7826">
        <w:rPr>
          <w:sz w:val="20"/>
          <w:szCs w:val="20"/>
          <w:lang w:val="en-GB"/>
        </w:rPr>
        <w:t xml:space="preserve"> 178-193</w:t>
      </w:r>
      <w:r>
        <w:rPr>
          <w:sz w:val="20"/>
          <w:szCs w:val="20"/>
          <w:lang w:val="en-GB"/>
        </w:rPr>
        <w:t>;</w:t>
      </w:r>
      <w:r w:rsidRPr="003C7826">
        <w:rPr>
          <w:sz w:val="20"/>
          <w:szCs w:val="20"/>
          <w:lang w:val="en-GB"/>
        </w:rPr>
        <w:t xml:space="preserve"> </w:t>
      </w:r>
      <w:r w:rsidRPr="00EC0505">
        <w:rPr>
          <w:sz w:val="20"/>
          <w:szCs w:val="20"/>
          <w:lang w:val="en-GB"/>
        </w:rPr>
        <w:t>Chiron</w:t>
      </w:r>
      <w:r w:rsidRPr="003C7826">
        <w:rPr>
          <w:sz w:val="20"/>
          <w:szCs w:val="20"/>
          <w:lang w:val="en-GB"/>
        </w:rPr>
        <w:t xml:space="preserve"> </w:t>
      </w:r>
      <w:r>
        <w:rPr>
          <w:sz w:val="20"/>
          <w:szCs w:val="20"/>
          <w:lang w:val="en-GB"/>
        </w:rPr>
        <w:t>(</w:t>
      </w:r>
      <w:r w:rsidRPr="003C7826">
        <w:rPr>
          <w:sz w:val="20"/>
          <w:szCs w:val="20"/>
          <w:lang w:val="en-GB"/>
        </w:rPr>
        <w:t>2011a</w:t>
      </w:r>
      <w:r>
        <w:rPr>
          <w:sz w:val="20"/>
          <w:szCs w:val="20"/>
          <w:lang w:val="en-GB"/>
        </w:rPr>
        <w:t>)</w:t>
      </w:r>
      <w:r w:rsidRPr="003C7826">
        <w:rPr>
          <w:sz w:val="20"/>
          <w:szCs w:val="20"/>
          <w:lang w:val="en-GB"/>
        </w:rPr>
        <w:t xml:space="preserve"> 241-243. Most scholars consider that the </w:t>
      </w:r>
      <w:r w:rsidRPr="003C7826">
        <w:rPr>
          <w:i/>
          <w:sz w:val="20"/>
          <w:szCs w:val="20"/>
          <w:lang w:val="en-GB"/>
        </w:rPr>
        <w:t>Rhetoric to Alexander</w:t>
      </w:r>
      <w:r w:rsidRPr="003C7826">
        <w:rPr>
          <w:sz w:val="20"/>
          <w:szCs w:val="20"/>
          <w:lang w:val="en-GB"/>
        </w:rPr>
        <w:t xml:space="preserve"> is earlier than the Aristotelian </w:t>
      </w:r>
      <w:r>
        <w:rPr>
          <w:sz w:val="20"/>
          <w:szCs w:val="20"/>
          <w:lang w:val="en-GB"/>
        </w:rPr>
        <w:t>treatise</w:t>
      </w:r>
      <w:r w:rsidRPr="003C7826">
        <w:rPr>
          <w:sz w:val="20"/>
          <w:szCs w:val="20"/>
          <w:lang w:val="en-GB"/>
        </w:rPr>
        <w:t xml:space="preserve">. In contrast, </w:t>
      </w:r>
      <w:r w:rsidRPr="00EC0505">
        <w:rPr>
          <w:sz w:val="20"/>
          <w:szCs w:val="20"/>
          <w:lang w:val="en-GB"/>
        </w:rPr>
        <w:t>Chiron</w:t>
      </w:r>
      <w:r w:rsidRPr="003C7826">
        <w:rPr>
          <w:sz w:val="20"/>
          <w:szCs w:val="20"/>
          <w:lang w:val="en-GB"/>
        </w:rPr>
        <w:t xml:space="preserve"> </w:t>
      </w:r>
      <w:r>
        <w:rPr>
          <w:sz w:val="20"/>
          <w:szCs w:val="20"/>
          <w:lang w:val="en-GB"/>
        </w:rPr>
        <w:t>(</w:t>
      </w:r>
      <w:r w:rsidRPr="003C7826">
        <w:rPr>
          <w:sz w:val="20"/>
          <w:szCs w:val="20"/>
          <w:lang w:val="en-GB"/>
        </w:rPr>
        <w:t>2004</w:t>
      </w:r>
      <w:r>
        <w:rPr>
          <w:sz w:val="20"/>
          <w:szCs w:val="20"/>
          <w:lang w:val="en-GB"/>
        </w:rPr>
        <w:t>)</w:t>
      </w:r>
      <w:r w:rsidRPr="003C7826">
        <w:rPr>
          <w:sz w:val="20"/>
          <w:szCs w:val="20"/>
          <w:lang w:val="en-GB"/>
        </w:rPr>
        <w:t xml:space="preserve"> 82</w:t>
      </w:r>
      <w:r>
        <w:rPr>
          <w:sz w:val="20"/>
          <w:szCs w:val="20"/>
          <w:lang w:val="en-GB"/>
        </w:rPr>
        <w:t xml:space="preserve"> and</w:t>
      </w:r>
      <w:r w:rsidRPr="003C7826">
        <w:rPr>
          <w:sz w:val="20"/>
          <w:szCs w:val="20"/>
          <w:lang w:val="en-GB"/>
        </w:rPr>
        <w:t xml:space="preserve"> </w:t>
      </w:r>
      <w:r>
        <w:rPr>
          <w:sz w:val="20"/>
          <w:szCs w:val="20"/>
          <w:lang w:val="en-GB"/>
        </w:rPr>
        <w:t>(</w:t>
      </w:r>
      <w:r w:rsidRPr="003C7826">
        <w:rPr>
          <w:sz w:val="20"/>
          <w:szCs w:val="20"/>
          <w:lang w:val="en-GB"/>
        </w:rPr>
        <w:t>2011</w:t>
      </w:r>
      <w:r>
        <w:rPr>
          <w:sz w:val="20"/>
          <w:szCs w:val="20"/>
          <w:lang w:val="en-GB"/>
        </w:rPr>
        <w:t>)</w:t>
      </w:r>
      <w:r w:rsidRPr="003C7826">
        <w:rPr>
          <w:sz w:val="20"/>
          <w:szCs w:val="20"/>
          <w:lang w:val="en-GB"/>
        </w:rPr>
        <w:t>, proposes an in</w:t>
      </w:r>
      <w:r w:rsidRPr="003E0CA3">
        <w:rPr>
          <w:sz w:val="20"/>
          <w:szCs w:val="20"/>
          <w:lang w:val="en-GB"/>
        </w:rPr>
        <w:t xml:space="preserve">terspersed, instead of consecutive, composition of both </w:t>
      </w:r>
      <w:r>
        <w:rPr>
          <w:sz w:val="20"/>
          <w:szCs w:val="20"/>
          <w:lang w:val="en-GB"/>
        </w:rPr>
        <w:t>works</w:t>
      </w:r>
      <w:r w:rsidRPr="003E0CA3">
        <w:rPr>
          <w:sz w:val="20"/>
          <w:szCs w:val="20"/>
          <w:lang w:val="en-GB"/>
        </w:rPr>
        <w:t xml:space="preserve">, so that the </w:t>
      </w:r>
      <w:r w:rsidRPr="00D733B4">
        <w:rPr>
          <w:i/>
          <w:sz w:val="20"/>
          <w:szCs w:val="20"/>
          <w:lang w:val="en-GB"/>
        </w:rPr>
        <w:t>Rhetoric to Alexander</w:t>
      </w:r>
      <w:r w:rsidRPr="00D733B4">
        <w:rPr>
          <w:sz w:val="20"/>
          <w:szCs w:val="20"/>
          <w:lang w:val="en-GB"/>
        </w:rPr>
        <w:t xml:space="preserve"> would be later than a first writing of the Aristotelian </w:t>
      </w:r>
      <w:r w:rsidRPr="00D733B4">
        <w:rPr>
          <w:i/>
          <w:sz w:val="20"/>
          <w:szCs w:val="20"/>
          <w:lang w:val="en-GB"/>
        </w:rPr>
        <w:t>Rhetoric</w:t>
      </w:r>
      <w:r w:rsidRPr="00D733B4">
        <w:rPr>
          <w:sz w:val="20"/>
          <w:szCs w:val="20"/>
          <w:lang w:val="en-GB"/>
        </w:rPr>
        <w:t xml:space="preserve">, but earlier than the definitive writing of this </w:t>
      </w:r>
      <w:r>
        <w:rPr>
          <w:sz w:val="20"/>
          <w:szCs w:val="20"/>
          <w:lang w:val="en-GB"/>
        </w:rPr>
        <w:t>treatise</w:t>
      </w:r>
      <w:r w:rsidRPr="00D733B4">
        <w:rPr>
          <w:sz w:val="20"/>
          <w:szCs w:val="20"/>
          <w:lang w:val="en-GB"/>
        </w:rPr>
        <w:t>.</w:t>
      </w:r>
    </w:p>
  </w:footnote>
  <w:footnote w:id="10">
    <w:p w:rsidR="00FB1069" w:rsidRPr="003C7826" w:rsidRDefault="00FB1069" w:rsidP="00AB475E">
      <w:pPr>
        <w:pStyle w:val="Textonotapie"/>
        <w:jc w:val="both"/>
        <w:rPr>
          <w:sz w:val="20"/>
          <w:szCs w:val="20"/>
          <w:lang w:val="en-GB"/>
        </w:rPr>
      </w:pPr>
      <w:r w:rsidRPr="003C7826">
        <w:rPr>
          <w:rStyle w:val="FootnoteCharacters"/>
          <w:sz w:val="20"/>
          <w:szCs w:val="20"/>
        </w:rPr>
        <w:footnoteRef/>
      </w:r>
      <w:r>
        <w:rPr>
          <w:sz w:val="20"/>
          <w:szCs w:val="20"/>
          <w:lang w:val="en-GB"/>
        </w:rPr>
        <w:t xml:space="preserve"> </w:t>
      </w:r>
      <w:r w:rsidRPr="00FF3EB2">
        <w:rPr>
          <w:sz w:val="20"/>
          <w:szCs w:val="20"/>
          <w:lang w:val="en-GB"/>
        </w:rPr>
        <w:t xml:space="preserve">On </w:t>
      </w:r>
      <w:r w:rsidRPr="003C7826">
        <w:rPr>
          <w:i/>
          <w:sz w:val="20"/>
          <w:szCs w:val="20"/>
          <w:lang w:val="en-GB"/>
        </w:rPr>
        <w:t>paradeigma</w:t>
      </w:r>
      <w:r w:rsidRPr="00FF3EB2">
        <w:rPr>
          <w:sz w:val="20"/>
          <w:szCs w:val="20"/>
          <w:lang w:val="en-GB"/>
        </w:rPr>
        <w:t xml:space="preserve">, cf. </w:t>
      </w:r>
      <w:r w:rsidRPr="00E10100">
        <w:rPr>
          <w:sz w:val="20"/>
          <w:szCs w:val="20"/>
          <w:lang w:val="en-GB"/>
        </w:rPr>
        <w:t>Ernesti</w:t>
      </w:r>
      <w:r w:rsidRPr="00FF3EB2">
        <w:rPr>
          <w:sz w:val="20"/>
          <w:szCs w:val="20"/>
          <w:lang w:val="en-GB"/>
        </w:rPr>
        <w:t xml:space="preserve"> </w:t>
      </w:r>
      <w:r>
        <w:rPr>
          <w:sz w:val="20"/>
          <w:szCs w:val="20"/>
          <w:lang w:val="en-GB"/>
        </w:rPr>
        <w:t>(</w:t>
      </w:r>
      <w:r w:rsidRPr="00FF3EB2">
        <w:rPr>
          <w:sz w:val="20"/>
          <w:szCs w:val="20"/>
          <w:lang w:val="en-GB"/>
        </w:rPr>
        <w:t>1795</w:t>
      </w:r>
      <w:r>
        <w:rPr>
          <w:sz w:val="20"/>
          <w:szCs w:val="20"/>
          <w:lang w:val="en-GB"/>
        </w:rPr>
        <w:t>) s. v.;</w:t>
      </w:r>
      <w:r w:rsidRPr="00FF3EB2">
        <w:rPr>
          <w:sz w:val="20"/>
          <w:szCs w:val="20"/>
          <w:lang w:val="en-GB"/>
        </w:rPr>
        <w:t xml:space="preserve"> </w:t>
      </w:r>
      <w:r w:rsidRPr="00E10100">
        <w:rPr>
          <w:sz w:val="20"/>
          <w:szCs w:val="20"/>
          <w:lang w:val="en-GB"/>
        </w:rPr>
        <w:t>Alewell</w:t>
      </w:r>
      <w:r w:rsidRPr="00FF3EB2">
        <w:rPr>
          <w:sz w:val="20"/>
          <w:szCs w:val="20"/>
          <w:lang w:val="en-GB"/>
        </w:rPr>
        <w:t xml:space="preserve"> </w:t>
      </w:r>
      <w:r>
        <w:rPr>
          <w:sz w:val="20"/>
          <w:szCs w:val="20"/>
          <w:lang w:val="en-GB"/>
        </w:rPr>
        <w:t>(</w:t>
      </w:r>
      <w:r w:rsidRPr="00FF3EB2">
        <w:rPr>
          <w:sz w:val="20"/>
          <w:szCs w:val="20"/>
          <w:lang w:val="en-GB"/>
        </w:rPr>
        <w:t>1913</w:t>
      </w:r>
      <w:r>
        <w:rPr>
          <w:sz w:val="20"/>
          <w:szCs w:val="20"/>
          <w:lang w:val="en-GB"/>
        </w:rPr>
        <w:t>);</w:t>
      </w:r>
      <w:r w:rsidRPr="00FF3EB2">
        <w:rPr>
          <w:sz w:val="20"/>
          <w:szCs w:val="20"/>
          <w:lang w:val="en-GB"/>
        </w:rPr>
        <w:t xml:space="preserve"> </w:t>
      </w:r>
      <w:r w:rsidRPr="00E10100">
        <w:rPr>
          <w:sz w:val="20"/>
          <w:szCs w:val="20"/>
          <w:lang w:val="en-GB"/>
        </w:rPr>
        <w:t>Jost</w:t>
      </w:r>
      <w:r w:rsidRPr="00D70BB2">
        <w:rPr>
          <w:sz w:val="20"/>
          <w:szCs w:val="20"/>
          <w:lang w:val="en-GB"/>
        </w:rPr>
        <w:t xml:space="preserve"> </w:t>
      </w:r>
      <w:r>
        <w:rPr>
          <w:sz w:val="20"/>
          <w:szCs w:val="20"/>
          <w:lang w:val="en-GB"/>
        </w:rPr>
        <w:t>(</w:t>
      </w:r>
      <w:r w:rsidRPr="00D70BB2">
        <w:rPr>
          <w:sz w:val="20"/>
          <w:szCs w:val="20"/>
          <w:lang w:val="en-GB"/>
        </w:rPr>
        <w:t>1936</w:t>
      </w:r>
      <w:r>
        <w:rPr>
          <w:sz w:val="20"/>
          <w:szCs w:val="20"/>
          <w:lang w:val="en-GB"/>
        </w:rPr>
        <w:t>);</w:t>
      </w:r>
      <w:r w:rsidRPr="00D70BB2">
        <w:rPr>
          <w:sz w:val="20"/>
          <w:szCs w:val="20"/>
          <w:lang w:val="en-GB"/>
        </w:rPr>
        <w:t xml:space="preserve"> </w:t>
      </w:r>
      <w:r w:rsidRPr="00E10100">
        <w:rPr>
          <w:sz w:val="20"/>
          <w:szCs w:val="20"/>
          <w:lang w:val="en-GB"/>
        </w:rPr>
        <w:t>Hauser</w:t>
      </w:r>
      <w:r w:rsidRPr="00D70BB2">
        <w:rPr>
          <w:sz w:val="20"/>
          <w:szCs w:val="20"/>
          <w:lang w:val="en-GB"/>
        </w:rPr>
        <w:t xml:space="preserve"> </w:t>
      </w:r>
      <w:r>
        <w:rPr>
          <w:sz w:val="20"/>
          <w:szCs w:val="20"/>
          <w:lang w:val="en-GB"/>
        </w:rPr>
        <w:t>(</w:t>
      </w:r>
      <w:r w:rsidRPr="00D70BB2">
        <w:rPr>
          <w:sz w:val="20"/>
          <w:szCs w:val="20"/>
          <w:lang w:val="en-GB"/>
        </w:rPr>
        <w:t>1974</w:t>
      </w:r>
      <w:r>
        <w:rPr>
          <w:sz w:val="20"/>
          <w:szCs w:val="20"/>
          <w:lang w:val="en-GB"/>
        </w:rPr>
        <w:t>);</w:t>
      </w:r>
      <w:r w:rsidRPr="00D70BB2">
        <w:rPr>
          <w:sz w:val="20"/>
          <w:szCs w:val="20"/>
          <w:lang w:val="en-GB"/>
        </w:rPr>
        <w:t xml:space="preserve"> </w:t>
      </w:r>
      <w:r w:rsidRPr="00E10100">
        <w:rPr>
          <w:sz w:val="20"/>
          <w:szCs w:val="20"/>
          <w:lang w:val="en-GB"/>
        </w:rPr>
        <w:t>Price</w:t>
      </w:r>
      <w:r w:rsidRPr="00D70BB2">
        <w:rPr>
          <w:sz w:val="20"/>
          <w:szCs w:val="20"/>
          <w:lang w:val="en-GB"/>
        </w:rPr>
        <w:t xml:space="preserve"> </w:t>
      </w:r>
      <w:r>
        <w:rPr>
          <w:sz w:val="20"/>
          <w:szCs w:val="20"/>
          <w:lang w:val="en-GB"/>
        </w:rPr>
        <w:t>(</w:t>
      </w:r>
      <w:r w:rsidRPr="00D70BB2">
        <w:rPr>
          <w:sz w:val="20"/>
          <w:szCs w:val="20"/>
          <w:lang w:val="en-GB"/>
        </w:rPr>
        <w:t>1975</w:t>
      </w:r>
      <w:r>
        <w:rPr>
          <w:sz w:val="20"/>
          <w:szCs w:val="20"/>
          <w:lang w:val="en-GB"/>
        </w:rPr>
        <w:t>);</w:t>
      </w:r>
      <w:r w:rsidRPr="00D70BB2">
        <w:rPr>
          <w:sz w:val="20"/>
          <w:szCs w:val="20"/>
          <w:lang w:val="en-GB"/>
        </w:rPr>
        <w:t xml:space="preserve"> </w:t>
      </w:r>
      <w:r w:rsidRPr="00E10100">
        <w:rPr>
          <w:sz w:val="20"/>
          <w:szCs w:val="20"/>
          <w:lang w:val="en-GB"/>
        </w:rPr>
        <w:t>Anderson</w:t>
      </w:r>
      <w:r w:rsidRPr="00D70BB2">
        <w:rPr>
          <w:sz w:val="20"/>
          <w:szCs w:val="20"/>
          <w:lang w:val="en-GB"/>
        </w:rPr>
        <w:t xml:space="preserve"> </w:t>
      </w:r>
      <w:r>
        <w:rPr>
          <w:sz w:val="20"/>
          <w:szCs w:val="20"/>
          <w:lang w:val="en-GB"/>
        </w:rPr>
        <w:t>(</w:t>
      </w:r>
      <w:r w:rsidRPr="00E10100">
        <w:rPr>
          <w:sz w:val="20"/>
          <w:szCs w:val="20"/>
          <w:lang w:val="en-GB"/>
        </w:rPr>
        <w:t>2000</w:t>
      </w:r>
      <w:r>
        <w:rPr>
          <w:sz w:val="20"/>
          <w:szCs w:val="20"/>
          <w:lang w:val="en-GB"/>
        </w:rPr>
        <w:t>)</w:t>
      </w:r>
      <w:r w:rsidRPr="00D70BB2">
        <w:rPr>
          <w:sz w:val="20"/>
          <w:szCs w:val="20"/>
          <w:lang w:val="en-GB"/>
        </w:rPr>
        <w:t xml:space="preserve"> s. v.</w:t>
      </w:r>
    </w:p>
  </w:footnote>
  <w:footnote w:id="11">
    <w:p w:rsidR="00FB1069" w:rsidRPr="008B49D5" w:rsidRDefault="00FB1069" w:rsidP="00863D36">
      <w:pPr>
        <w:pStyle w:val="Textonotapie"/>
        <w:jc w:val="both"/>
        <w:rPr>
          <w:sz w:val="20"/>
          <w:szCs w:val="20"/>
          <w:lang w:val="en-GB"/>
        </w:rPr>
      </w:pPr>
      <w:r w:rsidRPr="008B49D5">
        <w:rPr>
          <w:rStyle w:val="FootnoteCharacters"/>
          <w:sz w:val="20"/>
          <w:szCs w:val="20"/>
        </w:rPr>
        <w:footnoteRef/>
      </w:r>
      <w:r>
        <w:rPr>
          <w:sz w:val="20"/>
          <w:szCs w:val="20"/>
          <w:lang w:val="en-GB"/>
        </w:rPr>
        <w:t xml:space="preserve"> </w:t>
      </w:r>
      <w:r w:rsidRPr="00FF3EB2">
        <w:rPr>
          <w:sz w:val="20"/>
          <w:szCs w:val="20"/>
          <w:lang w:val="en-GB"/>
        </w:rPr>
        <w:t xml:space="preserve">A summary of the history of the rhetorical handbooks is offered in </w:t>
      </w:r>
      <w:r w:rsidRPr="00A849B1">
        <w:rPr>
          <w:sz w:val="20"/>
          <w:szCs w:val="20"/>
          <w:lang w:val="en-GB"/>
        </w:rPr>
        <w:t>Kennedy</w:t>
      </w:r>
      <w:r w:rsidRPr="00D70BB2">
        <w:rPr>
          <w:sz w:val="20"/>
          <w:szCs w:val="20"/>
          <w:lang w:val="en-GB"/>
        </w:rPr>
        <w:t xml:space="preserve"> </w:t>
      </w:r>
      <w:r>
        <w:rPr>
          <w:sz w:val="20"/>
          <w:szCs w:val="20"/>
          <w:lang w:val="en-GB"/>
        </w:rPr>
        <w:t>(</w:t>
      </w:r>
      <w:r w:rsidRPr="00D70BB2">
        <w:rPr>
          <w:sz w:val="20"/>
          <w:szCs w:val="20"/>
          <w:lang w:val="en-GB"/>
        </w:rPr>
        <w:t>1997</w:t>
      </w:r>
      <w:r>
        <w:rPr>
          <w:sz w:val="20"/>
          <w:szCs w:val="20"/>
          <w:lang w:val="en-GB"/>
        </w:rPr>
        <w:t>)</w:t>
      </w:r>
      <w:r w:rsidRPr="00D70BB2">
        <w:rPr>
          <w:sz w:val="20"/>
          <w:szCs w:val="20"/>
          <w:lang w:val="en-GB"/>
        </w:rPr>
        <w:t xml:space="preserve"> 20-37, </w:t>
      </w:r>
      <w:r w:rsidRPr="00A849B1">
        <w:rPr>
          <w:sz w:val="20"/>
          <w:szCs w:val="20"/>
          <w:lang w:val="en-GB"/>
        </w:rPr>
        <w:t>Conte</w:t>
      </w:r>
      <w:r w:rsidRPr="00D70BB2">
        <w:rPr>
          <w:sz w:val="20"/>
          <w:szCs w:val="20"/>
          <w:lang w:val="en-GB"/>
        </w:rPr>
        <w:t xml:space="preserve"> </w:t>
      </w:r>
      <w:r>
        <w:rPr>
          <w:sz w:val="20"/>
          <w:szCs w:val="20"/>
          <w:lang w:val="en-GB"/>
        </w:rPr>
        <w:t>(</w:t>
      </w:r>
      <w:r w:rsidRPr="00D70BB2">
        <w:rPr>
          <w:sz w:val="20"/>
          <w:szCs w:val="20"/>
          <w:lang w:val="en-GB"/>
        </w:rPr>
        <w:t>2016</w:t>
      </w:r>
      <w:r>
        <w:rPr>
          <w:sz w:val="20"/>
          <w:szCs w:val="20"/>
          <w:lang w:val="en-GB"/>
        </w:rPr>
        <w:t>)</w:t>
      </w:r>
      <w:r w:rsidRPr="00D70BB2">
        <w:rPr>
          <w:sz w:val="20"/>
          <w:szCs w:val="20"/>
          <w:lang w:val="en-GB"/>
        </w:rPr>
        <w:t>.</w:t>
      </w:r>
    </w:p>
  </w:footnote>
  <w:footnote w:id="12">
    <w:p w:rsidR="00FB1069" w:rsidRPr="003E28B6" w:rsidRDefault="00FB1069" w:rsidP="00AB475E">
      <w:pPr>
        <w:pStyle w:val="Textonotapie"/>
        <w:jc w:val="both"/>
        <w:rPr>
          <w:sz w:val="20"/>
          <w:szCs w:val="20"/>
          <w:lang w:val="en-GB"/>
        </w:rPr>
      </w:pPr>
      <w:r w:rsidRPr="003E28B6">
        <w:rPr>
          <w:rStyle w:val="FootnoteCharacters"/>
          <w:sz w:val="20"/>
          <w:szCs w:val="20"/>
        </w:rPr>
        <w:footnoteRef/>
      </w:r>
      <w:r>
        <w:rPr>
          <w:sz w:val="20"/>
          <w:szCs w:val="20"/>
          <w:lang w:val="en-GB"/>
        </w:rPr>
        <w:t xml:space="preserve"> </w:t>
      </w:r>
      <w:r w:rsidRPr="00FF3EB2">
        <w:rPr>
          <w:sz w:val="20"/>
          <w:szCs w:val="20"/>
          <w:lang w:val="en-GB"/>
        </w:rPr>
        <w:t>In the Imperial age numerous rhetoric</w:t>
      </w:r>
      <w:r>
        <w:rPr>
          <w:sz w:val="20"/>
          <w:szCs w:val="20"/>
          <w:lang w:val="en-GB"/>
        </w:rPr>
        <w:t>al</w:t>
      </w:r>
      <w:r w:rsidRPr="00FF3EB2">
        <w:rPr>
          <w:sz w:val="20"/>
          <w:szCs w:val="20"/>
          <w:lang w:val="en-GB"/>
        </w:rPr>
        <w:t xml:space="preserve"> treatises are written. </w:t>
      </w:r>
      <w:r w:rsidRPr="003A083F">
        <w:rPr>
          <w:sz w:val="20"/>
          <w:szCs w:val="20"/>
          <w:lang w:val="en-GB"/>
        </w:rPr>
        <w:t>Pernot</w:t>
      </w:r>
      <w:r w:rsidRPr="00D70BB2">
        <w:rPr>
          <w:sz w:val="20"/>
          <w:szCs w:val="20"/>
          <w:lang w:val="en-GB"/>
        </w:rPr>
        <w:t xml:space="preserve"> </w:t>
      </w:r>
      <w:r>
        <w:rPr>
          <w:sz w:val="20"/>
          <w:szCs w:val="20"/>
          <w:lang w:val="en-GB"/>
        </w:rPr>
        <w:t>(</w:t>
      </w:r>
      <w:r w:rsidRPr="00D70BB2">
        <w:rPr>
          <w:sz w:val="20"/>
          <w:szCs w:val="20"/>
          <w:lang w:val="en-GB"/>
        </w:rPr>
        <w:t>2005</w:t>
      </w:r>
      <w:r>
        <w:rPr>
          <w:sz w:val="20"/>
          <w:szCs w:val="20"/>
          <w:lang w:val="en-GB"/>
        </w:rPr>
        <w:t>)</w:t>
      </w:r>
      <w:r w:rsidRPr="00D70BB2">
        <w:rPr>
          <w:sz w:val="20"/>
          <w:szCs w:val="20"/>
          <w:lang w:val="en-GB"/>
        </w:rPr>
        <w:t xml:space="preserve"> 157, adduced two reasons for that: on the one hand, the necessity of handbooks </w:t>
      </w:r>
      <w:r>
        <w:rPr>
          <w:sz w:val="20"/>
          <w:szCs w:val="20"/>
          <w:lang w:val="en-GB"/>
        </w:rPr>
        <w:t>within</w:t>
      </w:r>
      <w:r w:rsidRPr="00D70BB2">
        <w:rPr>
          <w:sz w:val="20"/>
          <w:szCs w:val="20"/>
          <w:lang w:val="en-GB"/>
        </w:rPr>
        <w:t xml:space="preserve"> the education system and, on the other hand, the fact that rhetoric became an object </w:t>
      </w:r>
      <w:r>
        <w:rPr>
          <w:sz w:val="20"/>
          <w:szCs w:val="20"/>
          <w:lang w:val="en-GB"/>
        </w:rPr>
        <w:t xml:space="preserve">of analysis </w:t>
      </w:r>
      <w:r w:rsidRPr="00D70BB2">
        <w:rPr>
          <w:sz w:val="20"/>
          <w:szCs w:val="20"/>
          <w:lang w:val="en-GB"/>
        </w:rPr>
        <w:t>in itself.</w:t>
      </w:r>
    </w:p>
  </w:footnote>
  <w:footnote w:id="13">
    <w:p w:rsidR="00FB1069" w:rsidRPr="003E28B6" w:rsidRDefault="00FB1069" w:rsidP="00AB475E">
      <w:pPr>
        <w:pStyle w:val="Textonotapie"/>
        <w:jc w:val="both"/>
        <w:rPr>
          <w:sz w:val="20"/>
          <w:szCs w:val="20"/>
          <w:lang w:val="en-GB"/>
        </w:rPr>
      </w:pPr>
      <w:r w:rsidRPr="003E28B6">
        <w:rPr>
          <w:rStyle w:val="FootnoteCharacters"/>
          <w:sz w:val="20"/>
          <w:szCs w:val="20"/>
        </w:rPr>
        <w:footnoteRef/>
      </w:r>
      <w:r>
        <w:rPr>
          <w:sz w:val="20"/>
          <w:szCs w:val="20"/>
          <w:lang w:val="en-GB"/>
        </w:rPr>
        <w:t xml:space="preserve"> </w:t>
      </w:r>
      <w:r w:rsidRPr="004867A2">
        <w:rPr>
          <w:sz w:val="20"/>
          <w:szCs w:val="20"/>
          <w:lang w:val="en-GB"/>
        </w:rPr>
        <w:t>Chiron</w:t>
      </w:r>
      <w:r w:rsidRPr="00D70BB2">
        <w:rPr>
          <w:sz w:val="20"/>
          <w:szCs w:val="20"/>
          <w:lang w:val="en-GB"/>
        </w:rPr>
        <w:t xml:space="preserve"> </w:t>
      </w:r>
      <w:r>
        <w:rPr>
          <w:sz w:val="20"/>
          <w:szCs w:val="20"/>
          <w:lang w:val="en-GB"/>
        </w:rPr>
        <w:t>(</w:t>
      </w:r>
      <w:r w:rsidRPr="00D70BB2">
        <w:rPr>
          <w:sz w:val="20"/>
          <w:szCs w:val="20"/>
          <w:lang w:val="en-GB"/>
        </w:rPr>
        <w:t>2007</w:t>
      </w:r>
      <w:r>
        <w:rPr>
          <w:sz w:val="20"/>
          <w:szCs w:val="20"/>
          <w:lang w:val="en-GB"/>
        </w:rPr>
        <w:t>)</w:t>
      </w:r>
      <w:r w:rsidRPr="00D70BB2">
        <w:rPr>
          <w:sz w:val="20"/>
          <w:szCs w:val="20"/>
          <w:lang w:val="en-GB"/>
        </w:rPr>
        <w:t xml:space="preserve"> 104-105, divides the </w:t>
      </w:r>
      <w:r w:rsidRPr="00D70BB2">
        <w:rPr>
          <w:i/>
          <w:sz w:val="20"/>
          <w:szCs w:val="20"/>
          <w:lang w:val="en-GB"/>
        </w:rPr>
        <w:t>technai rhetorikai</w:t>
      </w:r>
      <w:r w:rsidRPr="00D70BB2">
        <w:rPr>
          <w:sz w:val="20"/>
          <w:szCs w:val="20"/>
          <w:lang w:val="en-GB"/>
        </w:rPr>
        <w:t xml:space="preserve"> into two groups, namely the generalist and the specialised treatises, and he distinguishes in each group four subgroups, so that he creates a classification with eight types of rhetorical handbooks. </w:t>
      </w:r>
      <w:r w:rsidRPr="004867A2">
        <w:rPr>
          <w:sz w:val="20"/>
          <w:szCs w:val="20"/>
          <w:lang w:val="en-GB"/>
        </w:rPr>
        <w:t>Patillon</w:t>
      </w:r>
      <w:r w:rsidRPr="00946E4F">
        <w:rPr>
          <w:sz w:val="20"/>
          <w:szCs w:val="20"/>
          <w:lang w:val="en-GB"/>
        </w:rPr>
        <w:t xml:space="preserve"> </w:t>
      </w:r>
      <w:r>
        <w:rPr>
          <w:sz w:val="20"/>
          <w:szCs w:val="20"/>
          <w:lang w:val="en-GB"/>
        </w:rPr>
        <w:t>(</w:t>
      </w:r>
      <w:r w:rsidRPr="00946E4F">
        <w:rPr>
          <w:sz w:val="20"/>
          <w:szCs w:val="20"/>
          <w:lang w:val="en-GB"/>
        </w:rPr>
        <w:t>2001b</w:t>
      </w:r>
      <w:r>
        <w:rPr>
          <w:sz w:val="20"/>
          <w:szCs w:val="20"/>
          <w:lang w:val="en-GB"/>
        </w:rPr>
        <w:t>)</w:t>
      </w:r>
      <w:r w:rsidRPr="00946E4F">
        <w:rPr>
          <w:sz w:val="20"/>
          <w:szCs w:val="20"/>
          <w:lang w:val="en-GB"/>
        </w:rPr>
        <w:t xml:space="preserve"> 243-246, instead, differentiates between six possible schemes in the composition of rhetorical handbooks: parts of speech, oratorical genres, tasks of the orator, technical and non-technical proofs, thesis and cause, and </w:t>
      </w:r>
      <w:r w:rsidRPr="00946E4F">
        <w:rPr>
          <w:i/>
          <w:sz w:val="20"/>
          <w:szCs w:val="20"/>
          <w:lang w:val="en-GB"/>
        </w:rPr>
        <w:t>status causae</w:t>
      </w:r>
      <w:r w:rsidRPr="003A54D5">
        <w:rPr>
          <w:sz w:val="20"/>
          <w:szCs w:val="20"/>
          <w:lang w:val="en-GB"/>
        </w:rPr>
        <w:t xml:space="preserve">. The problem is that each handbook can imply more than one form of composition. For example, in Rufus’ </w:t>
      </w:r>
      <w:r w:rsidRPr="003A54D5">
        <w:rPr>
          <w:i/>
          <w:sz w:val="20"/>
          <w:szCs w:val="20"/>
          <w:lang w:val="en-GB"/>
        </w:rPr>
        <w:t>Rhetoric</w:t>
      </w:r>
      <w:r w:rsidRPr="003A54D5">
        <w:rPr>
          <w:sz w:val="20"/>
          <w:szCs w:val="20"/>
          <w:lang w:val="en-GB"/>
        </w:rPr>
        <w:t xml:space="preserve"> Patillon (</w:t>
      </w:r>
      <w:r w:rsidRPr="003A54D5">
        <w:rPr>
          <w:i/>
          <w:sz w:val="20"/>
          <w:szCs w:val="20"/>
          <w:lang w:val="en-GB"/>
        </w:rPr>
        <w:t>ibid</w:t>
      </w:r>
      <w:r w:rsidRPr="003A54D5">
        <w:rPr>
          <w:sz w:val="20"/>
          <w:szCs w:val="20"/>
          <w:lang w:val="en-GB"/>
        </w:rPr>
        <w:t xml:space="preserve">., 255) finds, at least partially, the six ways of composition. And the </w:t>
      </w:r>
      <w:r w:rsidRPr="003A54D5">
        <w:rPr>
          <w:i/>
          <w:sz w:val="20"/>
          <w:szCs w:val="20"/>
          <w:lang w:val="en-GB"/>
        </w:rPr>
        <w:t>Anonymous Seguerianus</w:t>
      </w:r>
      <w:r w:rsidRPr="003A54D5">
        <w:rPr>
          <w:sz w:val="20"/>
          <w:szCs w:val="20"/>
          <w:lang w:val="en-GB"/>
        </w:rPr>
        <w:t xml:space="preserve"> is structured according to the four parts of speech, but, in addition, these four parts constitute a theory of </w:t>
      </w:r>
      <w:r w:rsidRPr="003A54D5">
        <w:rPr>
          <w:i/>
          <w:sz w:val="20"/>
          <w:szCs w:val="20"/>
          <w:lang w:val="en-GB"/>
        </w:rPr>
        <w:t>inventio</w:t>
      </w:r>
      <w:r w:rsidRPr="003A54D5">
        <w:rPr>
          <w:sz w:val="20"/>
          <w:szCs w:val="20"/>
          <w:lang w:val="en-GB"/>
        </w:rPr>
        <w:t xml:space="preserve"> and are followed by a final part devoted to </w:t>
      </w:r>
      <w:r w:rsidRPr="003A54D5">
        <w:rPr>
          <w:i/>
          <w:sz w:val="20"/>
          <w:szCs w:val="20"/>
          <w:lang w:val="en-GB"/>
        </w:rPr>
        <w:t>elocutio</w:t>
      </w:r>
      <w:r>
        <w:rPr>
          <w:sz w:val="20"/>
          <w:szCs w:val="20"/>
          <w:lang w:val="en-GB"/>
        </w:rPr>
        <w:t xml:space="preserve">; cf. </w:t>
      </w:r>
      <w:r w:rsidRPr="004867A2">
        <w:rPr>
          <w:sz w:val="20"/>
          <w:szCs w:val="20"/>
          <w:lang w:val="en-GB"/>
        </w:rPr>
        <w:t>Patillon</w:t>
      </w:r>
      <w:r w:rsidRPr="003A54D5">
        <w:rPr>
          <w:sz w:val="20"/>
          <w:szCs w:val="20"/>
          <w:lang w:val="en-GB"/>
        </w:rPr>
        <w:t xml:space="preserve"> </w:t>
      </w:r>
      <w:r>
        <w:rPr>
          <w:sz w:val="20"/>
          <w:szCs w:val="20"/>
          <w:lang w:val="en-GB"/>
        </w:rPr>
        <w:t>(</w:t>
      </w:r>
      <w:r w:rsidRPr="003A54D5">
        <w:rPr>
          <w:sz w:val="20"/>
          <w:szCs w:val="20"/>
          <w:lang w:val="en-GB"/>
        </w:rPr>
        <w:t>2005</w:t>
      </w:r>
      <w:r>
        <w:rPr>
          <w:sz w:val="20"/>
          <w:szCs w:val="20"/>
          <w:lang w:val="en-GB"/>
        </w:rPr>
        <w:t>)</w:t>
      </w:r>
      <w:r w:rsidRPr="003A54D5">
        <w:rPr>
          <w:sz w:val="20"/>
          <w:szCs w:val="20"/>
          <w:lang w:val="en-GB"/>
        </w:rPr>
        <w:t xml:space="preserve"> v-vi.</w:t>
      </w:r>
    </w:p>
  </w:footnote>
  <w:footnote w:id="14">
    <w:p w:rsidR="00FB1069" w:rsidRPr="00AB475E" w:rsidRDefault="00FB1069" w:rsidP="00AB475E">
      <w:pPr>
        <w:pStyle w:val="Textonotapie"/>
        <w:jc w:val="both"/>
        <w:rPr>
          <w:sz w:val="20"/>
          <w:szCs w:val="20"/>
          <w:lang w:val="en-GB"/>
        </w:rPr>
      </w:pPr>
      <w:r w:rsidRPr="008B49D5">
        <w:rPr>
          <w:rStyle w:val="FootnoteCharacters"/>
          <w:sz w:val="20"/>
          <w:szCs w:val="20"/>
        </w:rPr>
        <w:footnoteRef/>
      </w:r>
      <w:r w:rsidRPr="00AB475E">
        <w:rPr>
          <w:sz w:val="20"/>
          <w:szCs w:val="20"/>
          <w:lang w:val="en-GB"/>
        </w:rPr>
        <w:t xml:space="preserve"> On </w:t>
      </w:r>
      <w:r w:rsidRPr="00AB475E">
        <w:rPr>
          <w:i/>
          <w:sz w:val="20"/>
          <w:szCs w:val="20"/>
          <w:lang w:val="en-GB"/>
        </w:rPr>
        <w:t>progymnasmata</w:t>
      </w:r>
      <w:r w:rsidRPr="00AB475E">
        <w:rPr>
          <w:sz w:val="20"/>
          <w:szCs w:val="20"/>
          <w:lang w:val="en-GB"/>
        </w:rPr>
        <w:t>, cf. Webb (2001); Chiron (2017).</w:t>
      </w:r>
    </w:p>
  </w:footnote>
  <w:footnote w:id="15">
    <w:p w:rsidR="00FB1069" w:rsidRPr="008B49D5" w:rsidRDefault="00FB1069" w:rsidP="00AB475E">
      <w:pPr>
        <w:pStyle w:val="Textonotapie"/>
        <w:jc w:val="both"/>
        <w:rPr>
          <w:sz w:val="20"/>
          <w:szCs w:val="20"/>
          <w:lang w:val="en-GB"/>
        </w:rPr>
      </w:pPr>
      <w:r w:rsidRPr="008B49D5">
        <w:rPr>
          <w:rStyle w:val="FootnoteCharacters"/>
          <w:sz w:val="20"/>
          <w:szCs w:val="20"/>
        </w:rPr>
        <w:footnoteRef/>
      </w:r>
      <w:r>
        <w:rPr>
          <w:sz w:val="20"/>
          <w:szCs w:val="20"/>
          <w:lang w:val="en-GB"/>
        </w:rPr>
        <w:t xml:space="preserve"> </w:t>
      </w:r>
      <w:r w:rsidRPr="00FF3EB2">
        <w:rPr>
          <w:sz w:val="20"/>
          <w:szCs w:val="20"/>
          <w:lang w:val="en-GB"/>
        </w:rPr>
        <w:t xml:space="preserve">On declamation in Greece, cf. </w:t>
      </w:r>
      <w:r w:rsidRPr="0091204C">
        <w:rPr>
          <w:sz w:val="20"/>
          <w:szCs w:val="20"/>
          <w:lang w:val="en-GB"/>
        </w:rPr>
        <w:t>Russell</w:t>
      </w:r>
      <w:r w:rsidRPr="00D70BB2">
        <w:rPr>
          <w:sz w:val="20"/>
          <w:szCs w:val="20"/>
          <w:lang w:val="en-GB"/>
        </w:rPr>
        <w:t xml:space="preserve"> </w:t>
      </w:r>
      <w:r>
        <w:rPr>
          <w:sz w:val="20"/>
          <w:szCs w:val="20"/>
          <w:lang w:val="en-GB"/>
        </w:rPr>
        <w:t>(</w:t>
      </w:r>
      <w:r w:rsidRPr="00D70BB2">
        <w:rPr>
          <w:sz w:val="20"/>
          <w:szCs w:val="20"/>
          <w:lang w:val="en-GB"/>
        </w:rPr>
        <w:t>1983</w:t>
      </w:r>
      <w:r>
        <w:rPr>
          <w:sz w:val="20"/>
          <w:szCs w:val="20"/>
          <w:lang w:val="en-GB"/>
        </w:rPr>
        <w:t>)</w:t>
      </w:r>
      <w:r w:rsidRPr="00D70BB2">
        <w:rPr>
          <w:sz w:val="20"/>
          <w:szCs w:val="20"/>
          <w:lang w:val="en-GB"/>
        </w:rPr>
        <w:t>.</w:t>
      </w:r>
    </w:p>
  </w:footnote>
  <w:footnote w:id="16">
    <w:p w:rsidR="00FB1069" w:rsidRPr="008B49D5" w:rsidRDefault="00FB1069" w:rsidP="00AB475E">
      <w:pPr>
        <w:pStyle w:val="Textonotapie"/>
        <w:jc w:val="both"/>
        <w:rPr>
          <w:sz w:val="20"/>
          <w:szCs w:val="20"/>
          <w:lang w:val="en-GB"/>
        </w:rPr>
      </w:pPr>
      <w:r w:rsidRPr="008B49D5">
        <w:rPr>
          <w:rStyle w:val="FootnoteCharacters"/>
          <w:sz w:val="20"/>
          <w:szCs w:val="20"/>
        </w:rPr>
        <w:footnoteRef/>
      </w:r>
      <w:r>
        <w:rPr>
          <w:sz w:val="20"/>
          <w:szCs w:val="20"/>
          <w:lang w:val="en-GB"/>
        </w:rPr>
        <w:t xml:space="preserve"> </w:t>
      </w:r>
      <w:r w:rsidRPr="0091204C">
        <w:rPr>
          <w:sz w:val="20"/>
          <w:szCs w:val="20"/>
          <w:lang w:val="en-GB"/>
        </w:rPr>
        <w:t>Heath</w:t>
      </w:r>
      <w:r w:rsidRPr="00FF3EB2">
        <w:rPr>
          <w:sz w:val="20"/>
          <w:szCs w:val="20"/>
          <w:lang w:val="en-GB"/>
        </w:rPr>
        <w:t xml:space="preserve"> </w:t>
      </w:r>
      <w:r>
        <w:rPr>
          <w:sz w:val="20"/>
          <w:szCs w:val="20"/>
          <w:lang w:val="en-GB"/>
        </w:rPr>
        <w:t>(</w:t>
      </w:r>
      <w:r w:rsidRPr="00FF3EB2">
        <w:rPr>
          <w:sz w:val="20"/>
          <w:szCs w:val="20"/>
          <w:lang w:val="en-GB"/>
        </w:rPr>
        <w:t>2002-2003</w:t>
      </w:r>
      <w:r>
        <w:rPr>
          <w:sz w:val="20"/>
          <w:szCs w:val="20"/>
          <w:lang w:val="en-GB"/>
        </w:rPr>
        <w:t>)</w:t>
      </w:r>
      <w:r w:rsidRPr="00FF3EB2">
        <w:rPr>
          <w:sz w:val="20"/>
          <w:szCs w:val="20"/>
          <w:lang w:val="en-GB"/>
        </w:rPr>
        <w:t xml:space="preserve"> 129-141, collects a list of the attested, although not preserved, </w:t>
      </w:r>
      <w:r w:rsidRPr="00D70BB2">
        <w:rPr>
          <w:i/>
          <w:sz w:val="20"/>
          <w:szCs w:val="20"/>
          <w:lang w:val="en-GB"/>
        </w:rPr>
        <w:t>progymnasmata</w:t>
      </w:r>
      <w:r w:rsidRPr="00D70BB2">
        <w:rPr>
          <w:sz w:val="20"/>
          <w:szCs w:val="20"/>
          <w:lang w:val="en-GB"/>
        </w:rPr>
        <w:t>.</w:t>
      </w:r>
    </w:p>
  </w:footnote>
  <w:footnote w:id="17">
    <w:p w:rsidR="00FB1069" w:rsidRPr="008B49D5" w:rsidRDefault="00FB1069" w:rsidP="00AB475E">
      <w:pPr>
        <w:pStyle w:val="Textonotapie"/>
        <w:jc w:val="both"/>
        <w:rPr>
          <w:sz w:val="20"/>
          <w:szCs w:val="20"/>
          <w:lang w:val="en-GB"/>
        </w:rPr>
      </w:pPr>
      <w:r w:rsidRPr="008B49D5">
        <w:rPr>
          <w:rStyle w:val="FootnoteCharacters"/>
          <w:sz w:val="20"/>
          <w:szCs w:val="20"/>
        </w:rPr>
        <w:footnoteRef/>
      </w:r>
      <w:r>
        <w:rPr>
          <w:sz w:val="20"/>
          <w:szCs w:val="20"/>
          <w:lang w:val="en-GB"/>
        </w:rPr>
        <w:t xml:space="preserve"> </w:t>
      </w:r>
      <w:r w:rsidRPr="00FF3EB2">
        <w:rPr>
          <w:sz w:val="20"/>
          <w:szCs w:val="20"/>
          <w:lang w:val="en-GB"/>
        </w:rPr>
        <w:t xml:space="preserve">Theon’s </w:t>
      </w:r>
      <w:r w:rsidRPr="00D70BB2">
        <w:rPr>
          <w:i/>
          <w:sz w:val="20"/>
          <w:szCs w:val="20"/>
          <w:lang w:val="en-GB"/>
        </w:rPr>
        <w:t>progymnasmata</w:t>
      </w:r>
      <w:r w:rsidRPr="00D70BB2">
        <w:rPr>
          <w:sz w:val="20"/>
          <w:szCs w:val="20"/>
          <w:lang w:val="en-GB"/>
        </w:rPr>
        <w:t xml:space="preserve"> are generally dated in the 1</w:t>
      </w:r>
      <w:r w:rsidRPr="00D70BB2">
        <w:rPr>
          <w:sz w:val="20"/>
          <w:szCs w:val="20"/>
          <w:vertAlign w:val="superscript"/>
          <w:lang w:val="en-GB"/>
        </w:rPr>
        <w:t>st</w:t>
      </w:r>
      <w:r w:rsidRPr="00D70BB2">
        <w:rPr>
          <w:sz w:val="20"/>
          <w:szCs w:val="20"/>
          <w:lang w:val="en-GB"/>
        </w:rPr>
        <w:t xml:space="preserve"> century A</w:t>
      </w:r>
      <w:r>
        <w:rPr>
          <w:sz w:val="20"/>
          <w:szCs w:val="20"/>
          <w:lang w:val="en-GB"/>
        </w:rPr>
        <w:t>D</w:t>
      </w:r>
      <w:r w:rsidRPr="00FF3EB2">
        <w:rPr>
          <w:sz w:val="20"/>
          <w:szCs w:val="20"/>
          <w:lang w:val="en-GB"/>
        </w:rPr>
        <w:t xml:space="preserve">. However, the date is disputable and some scholars defend a later date. For example, </w:t>
      </w:r>
      <w:r w:rsidRPr="0091204C">
        <w:rPr>
          <w:sz w:val="20"/>
          <w:szCs w:val="20"/>
          <w:lang w:val="en-GB"/>
        </w:rPr>
        <w:t>Heath</w:t>
      </w:r>
      <w:r w:rsidRPr="00FF3EB2">
        <w:rPr>
          <w:sz w:val="20"/>
          <w:szCs w:val="20"/>
          <w:lang w:val="en-GB"/>
        </w:rPr>
        <w:t xml:space="preserve"> </w:t>
      </w:r>
      <w:r>
        <w:rPr>
          <w:sz w:val="20"/>
          <w:szCs w:val="20"/>
          <w:lang w:val="en-GB"/>
        </w:rPr>
        <w:t>(</w:t>
      </w:r>
      <w:r w:rsidRPr="00FF3EB2">
        <w:rPr>
          <w:sz w:val="20"/>
          <w:szCs w:val="20"/>
          <w:lang w:val="en-GB"/>
        </w:rPr>
        <w:t>2002-2003</w:t>
      </w:r>
      <w:r>
        <w:rPr>
          <w:sz w:val="20"/>
          <w:szCs w:val="20"/>
          <w:lang w:val="en-GB"/>
        </w:rPr>
        <w:t>)</w:t>
      </w:r>
      <w:r w:rsidRPr="00FF3EB2">
        <w:rPr>
          <w:sz w:val="20"/>
          <w:szCs w:val="20"/>
          <w:lang w:val="en-GB"/>
        </w:rPr>
        <w:t xml:space="preserve"> 141-158, shows how Theon’s </w:t>
      </w:r>
      <w:r>
        <w:rPr>
          <w:sz w:val="20"/>
          <w:szCs w:val="20"/>
          <w:lang w:val="en-GB"/>
        </w:rPr>
        <w:t>work</w:t>
      </w:r>
      <w:r w:rsidRPr="00FF3EB2">
        <w:rPr>
          <w:sz w:val="20"/>
          <w:szCs w:val="20"/>
          <w:lang w:val="en-GB"/>
        </w:rPr>
        <w:t xml:space="preserve"> fits in</w:t>
      </w:r>
      <w:r w:rsidRPr="00D70BB2">
        <w:rPr>
          <w:sz w:val="20"/>
          <w:szCs w:val="20"/>
          <w:lang w:val="en-GB"/>
        </w:rPr>
        <w:t>to the situation of the 4</w:t>
      </w:r>
      <w:r w:rsidRPr="00946E4F">
        <w:rPr>
          <w:sz w:val="20"/>
          <w:szCs w:val="20"/>
          <w:vertAlign w:val="superscript"/>
          <w:lang w:val="en-GB"/>
        </w:rPr>
        <w:t>th</w:t>
      </w:r>
      <w:r w:rsidRPr="00946E4F">
        <w:rPr>
          <w:sz w:val="20"/>
          <w:szCs w:val="20"/>
          <w:lang w:val="en-GB"/>
        </w:rPr>
        <w:t xml:space="preserve"> and 5</w:t>
      </w:r>
      <w:r w:rsidRPr="00946E4F">
        <w:rPr>
          <w:sz w:val="20"/>
          <w:szCs w:val="20"/>
          <w:vertAlign w:val="superscript"/>
          <w:lang w:val="en-GB"/>
        </w:rPr>
        <w:t>th</w:t>
      </w:r>
      <w:r w:rsidRPr="00946E4F">
        <w:rPr>
          <w:sz w:val="20"/>
          <w:szCs w:val="20"/>
          <w:lang w:val="en-GB"/>
        </w:rPr>
        <w:t xml:space="preserve"> centuries A</w:t>
      </w:r>
      <w:r>
        <w:rPr>
          <w:sz w:val="20"/>
          <w:szCs w:val="20"/>
          <w:lang w:val="en-GB"/>
        </w:rPr>
        <w:t>D</w:t>
      </w:r>
      <w:r w:rsidRPr="00FF3EB2">
        <w:rPr>
          <w:sz w:val="20"/>
          <w:szCs w:val="20"/>
          <w:lang w:val="en-GB"/>
        </w:rPr>
        <w:t>.</w:t>
      </w:r>
    </w:p>
  </w:footnote>
  <w:footnote w:id="18">
    <w:p w:rsidR="00FB1069" w:rsidRPr="00B4320D" w:rsidRDefault="00FB1069" w:rsidP="00AB475E">
      <w:pPr>
        <w:pStyle w:val="Textonotapie"/>
        <w:jc w:val="both"/>
        <w:rPr>
          <w:sz w:val="20"/>
          <w:szCs w:val="20"/>
          <w:lang w:val="en-GB"/>
        </w:rPr>
      </w:pPr>
      <w:r w:rsidRPr="00B4320D">
        <w:rPr>
          <w:rStyle w:val="Refdenotaalpie"/>
          <w:sz w:val="20"/>
          <w:szCs w:val="20"/>
        </w:rPr>
        <w:footnoteRef/>
      </w:r>
      <w:r w:rsidRPr="00B4320D">
        <w:rPr>
          <w:sz w:val="20"/>
          <w:szCs w:val="20"/>
          <w:lang w:val="en-GB"/>
        </w:rPr>
        <w:t xml:space="preserve"> Aphthonius’ treatise stood out above the rest (perhaps because he is the only one who accompanies the explanation of each exercise with an example, and exceptionally with two examples) and his </w:t>
      </w:r>
      <w:r w:rsidRPr="00B4320D">
        <w:rPr>
          <w:i/>
          <w:sz w:val="20"/>
          <w:szCs w:val="20"/>
          <w:lang w:val="en-GB"/>
        </w:rPr>
        <w:t>progymnasmata</w:t>
      </w:r>
      <w:r w:rsidRPr="00B4320D">
        <w:rPr>
          <w:sz w:val="20"/>
          <w:szCs w:val="20"/>
          <w:lang w:val="en-GB"/>
        </w:rPr>
        <w:t xml:space="preserve"> became the prototype of the genre. On the use of examples on Aphthonius’ </w:t>
      </w:r>
      <w:r w:rsidRPr="00B4320D">
        <w:rPr>
          <w:i/>
          <w:sz w:val="20"/>
          <w:szCs w:val="20"/>
          <w:lang w:val="en-GB"/>
        </w:rPr>
        <w:t>Progymnasmata</w:t>
      </w:r>
      <w:r w:rsidRPr="00B4320D">
        <w:rPr>
          <w:sz w:val="20"/>
          <w:szCs w:val="20"/>
          <w:lang w:val="en-GB"/>
        </w:rPr>
        <w:t>, cf. Robert (2016).</w:t>
      </w:r>
    </w:p>
  </w:footnote>
  <w:footnote w:id="19">
    <w:p w:rsidR="00FB1069" w:rsidRPr="003C7826" w:rsidRDefault="00FB1069" w:rsidP="00AB475E">
      <w:pPr>
        <w:pStyle w:val="Textonotapie"/>
        <w:jc w:val="both"/>
        <w:rPr>
          <w:sz w:val="20"/>
          <w:szCs w:val="20"/>
          <w:lang w:val="en-GB"/>
        </w:rPr>
      </w:pPr>
      <w:r w:rsidRPr="003C7826">
        <w:rPr>
          <w:rStyle w:val="FootnoteCharacters"/>
          <w:sz w:val="20"/>
          <w:szCs w:val="20"/>
        </w:rPr>
        <w:footnoteRef/>
      </w:r>
      <w:r>
        <w:rPr>
          <w:sz w:val="20"/>
          <w:szCs w:val="20"/>
          <w:lang w:val="en-GB"/>
        </w:rPr>
        <w:t xml:space="preserve"> </w:t>
      </w:r>
      <w:r w:rsidRPr="00FF3EB2">
        <w:rPr>
          <w:sz w:val="20"/>
          <w:szCs w:val="20"/>
          <w:lang w:val="en-GB"/>
        </w:rPr>
        <w:t xml:space="preserve">The reception of </w:t>
      </w:r>
      <w:r w:rsidRPr="00FF3EB2">
        <w:rPr>
          <w:i/>
          <w:sz w:val="20"/>
          <w:szCs w:val="20"/>
          <w:lang w:val="en-GB"/>
        </w:rPr>
        <w:t>paradeigma</w:t>
      </w:r>
      <w:r w:rsidRPr="00FF3EB2">
        <w:rPr>
          <w:sz w:val="20"/>
          <w:szCs w:val="20"/>
          <w:lang w:val="en-GB"/>
        </w:rPr>
        <w:t xml:space="preserve"> in Late Antiquity has been previously studied by </w:t>
      </w:r>
      <w:r w:rsidRPr="00A55087">
        <w:rPr>
          <w:sz w:val="20"/>
          <w:szCs w:val="20"/>
          <w:lang w:val="en-GB"/>
        </w:rPr>
        <w:t>Demoen</w:t>
      </w:r>
      <w:r w:rsidRPr="00D70BB2">
        <w:rPr>
          <w:sz w:val="20"/>
          <w:szCs w:val="20"/>
          <w:lang w:val="en-GB"/>
        </w:rPr>
        <w:t xml:space="preserve"> </w:t>
      </w:r>
      <w:r>
        <w:rPr>
          <w:sz w:val="20"/>
          <w:szCs w:val="20"/>
          <w:lang w:val="en-GB"/>
        </w:rPr>
        <w:t>(</w:t>
      </w:r>
      <w:r w:rsidRPr="00D70BB2">
        <w:rPr>
          <w:sz w:val="20"/>
          <w:szCs w:val="20"/>
          <w:lang w:val="en-GB"/>
        </w:rPr>
        <w:t>1996</w:t>
      </w:r>
      <w:r>
        <w:rPr>
          <w:sz w:val="20"/>
          <w:szCs w:val="20"/>
          <w:lang w:val="en-GB"/>
        </w:rPr>
        <w:t>)</w:t>
      </w:r>
      <w:r w:rsidRPr="00D70BB2">
        <w:rPr>
          <w:sz w:val="20"/>
          <w:szCs w:val="20"/>
          <w:lang w:val="en-GB"/>
        </w:rPr>
        <w:t xml:space="preserve"> 35-56</w:t>
      </w:r>
      <w:r>
        <w:rPr>
          <w:sz w:val="20"/>
          <w:szCs w:val="20"/>
          <w:lang w:val="en-GB"/>
        </w:rPr>
        <w:t>;</w:t>
      </w:r>
      <w:r w:rsidRPr="00D70BB2">
        <w:rPr>
          <w:sz w:val="20"/>
          <w:szCs w:val="20"/>
          <w:lang w:val="en-GB"/>
        </w:rPr>
        <w:t xml:space="preserve"> </w:t>
      </w:r>
      <w:r>
        <w:rPr>
          <w:sz w:val="20"/>
          <w:szCs w:val="20"/>
          <w:lang w:val="en-GB"/>
        </w:rPr>
        <w:t>(</w:t>
      </w:r>
      <w:r w:rsidRPr="00D70BB2">
        <w:rPr>
          <w:sz w:val="20"/>
          <w:szCs w:val="20"/>
          <w:lang w:val="en-GB"/>
        </w:rPr>
        <w:t>1997</w:t>
      </w:r>
      <w:r>
        <w:rPr>
          <w:sz w:val="20"/>
          <w:szCs w:val="20"/>
          <w:lang w:val="en-GB"/>
        </w:rPr>
        <w:t>)</w:t>
      </w:r>
      <w:r w:rsidRPr="00D70BB2">
        <w:rPr>
          <w:sz w:val="20"/>
          <w:szCs w:val="20"/>
          <w:lang w:val="en-GB"/>
        </w:rPr>
        <w:t>.</w:t>
      </w:r>
    </w:p>
  </w:footnote>
  <w:footnote w:id="20">
    <w:p w:rsidR="00FB1069" w:rsidRPr="008B49D5" w:rsidRDefault="00FB1069">
      <w:pPr>
        <w:pStyle w:val="Textonotapie"/>
        <w:jc w:val="both"/>
        <w:rPr>
          <w:sz w:val="20"/>
          <w:szCs w:val="20"/>
          <w:lang w:val="en-GB"/>
        </w:rPr>
      </w:pPr>
      <w:r w:rsidRPr="008B49D5">
        <w:rPr>
          <w:rStyle w:val="FootnoteCharacters"/>
          <w:sz w:val="20"/>
          <w:szCs w:val="20"/>
        </w:rPr>
        <w:footnoteRef/>
      </w:r>
      <w:r>
        <w:rPr>
          <w:sz w:val="20"/>
          <w:szCs w:val="20"/>
          <w:lang w:val="en-GB"/>
        </w:rPr>
        <w:t xml:space="preserve"> </w:t>
      </w:r>
      <w:r w:rsidRPr="00FF3EB2">
        <w:rPr>
          <w:sz w:val="20"/>
          <w:szCs w:val="20"/>
          <w:lang w:val="en-GB"/>
        </w:rPr>
        <w:t xml:space="preserve">On this division and the </w:t>
      </w:r>
      <w:r w:rsidRPr="00FF3EB2">
        <w:rPr>
          <w:i/>
          <w:sz w:val="20"/>
          <w:szCs w:val="20"/>
          <w:lang w:val="en-GB"/>
        </w:rPr>
        <w:t>pist</w:t>
      </w:r>
      <w:r w:rsidRPr="00D70BB2">
        <w:rPr>
          <w:i/>
          <w:sz w:val="20"/>
          <w:szCs w:val="20"/>
          <w:lang w:val="en-GB"/>
        </w:rPr>
        <w:t>eis</w:t>
      </w:r>
      <w:r w:rsidRPr="00D70BB2">
        <w:rPr>
          <w:sz w:val="20"/>
          <w:szCs w:val="20"/>
          <w:lang w:val="en-GB"/>
        </w:rPr>
        <w:t xml:space="preserve"> that each group includes in both authors, cf. </w:t>
      </w:r>
      <w:r w:rsidRPr="00A849B1">
        <w:rPr>
          <w:sz w:val="20"/>
          <w:szCs w:val="20"/>
          <w:lang w:val="en-GB"/>
        </w:rPr>
        <w:t>Kraus</w:t>
      </w:r>
      <w:r w:rsidRPr="00D70BB2">
        <w:rPr>
          <w:sz w:val="20"/>
          <w:szCs w:val="20"/>
          <w:lang w:val="en-GB"/>
        </w:rPr>
        <w:t xml:space="preserve"> </w:t>
      </w:r>
      <w:r>
        <w:rPr>
          <w:sz w:val="20"/>
          <w:szCs w:val="20"/>
          <w:lang w:val="en-GB"/>
        </w:rPr>
        <w:t>(</w:t>
      </w:r>
      <w:r w:rsidRPr="00D70BB2">
        <w:rPr>
          <w:sz w:val="20"/>
          <w:szCs w:val="20"/>
          <w:lang w:val="en-GB"/>
        </w:rPr>
        <w:t>2011</w:t>
      </w:r>
      <w:r>
        <w:rPr>
          <w:sz w:val="20"/>
          <w:szCs w:val="20"/>
          <w:lang w:val="en-GB"/>
        </w:rPr>
        <w:t>)</w:t>
      </w:r>
      <w:r w:rsidRPr="00D70BB2">
        <w:rPr>
          <w:sz w:val="20"/>
          <w:szCs w:val="20"/>
          <w:lang w:val="en-GB"/>
        </w:rPr>
        <w:t>.</w:t>
      </w:r>
    </w:p>
  </w:footnote>
  <w:footnote w:id="21">
    <w:p w:rsidR="00FB1069" w:rsidRPr="008B49D5" w:rsidRDefault="00FB1069">
      <w:pPr>
        <w:jc w:val="both"/>
        <w:rPr>
          <w:sz w:val="20"/>
          <w:szCs w:val="20"/>
          <w:lang w:val="en-GB"/>
        </w:rPr>
      </w:pPr>
      <w:r w:rsidRPr="008B49D5">
        <w:rPr>
          <w:rStyle w:val="FootnoteCharacters"/>
          <w:sz w:val="20"/>
          <w:szCs w:val="20"/>
        </w:rPr>
        <w:footnoteRef/>
      </w:r>
      <w:r>
        <w:rPr>
          <w:sz w:val="20"/>
          <w:szCs w:val="20"/>
          <w:lang w:val="en-GB"/>
        </w:rPr>
        <w:t xml:space="preserve"> </w:t>
      </w:r>
      <w:r w:rsidRPr="00FF3EB2">
        <w:rPr>
          <w:sz w:val="20"/>
          <w:szCs w:val="20"/>
          <w:lang w:val="en-GB"/>
        </w:rPr>
        <w:t xml:space="preserve">On these proofs, cf. </w:t>
      </w:r>
      <w:r w:rsidRPr="006264F3">
        <w:rPr>
          <w:sz w:val="20"/>
          <w:szCs w:val="20"/>
          <w:lang w:val="en-GB"/>
        </w:rPr>
        <w:t>Chiron</w:t>
      </w:r>
      <w:r w:rsidRPr="00D70BB2">
        <w:rPr>
          <w:sz w:val="20"/>
          <w:szCs w:val="20"/>
          <w:lang w:val="en-GB"/>
        </w:rPr>
        <w:t xml:space="preserve"> </w:t>
      </w:r>
      <w:r>
        <w:rPr>
          <w:sz w:val="20"/>
          <w:szCs w:val="20"/>
          <w:lang w:val="en-GB"/>
        </w:rPr>
        <w:t>(</w:t>
      </w:r>
      <w:r w:rsidRPr="00D70BB2">
        <w:rPr>
          <w:sz w:val="20"/>
          <w:szCs w:val="20"/>
          <w:lang w:val="en-GB"/>
        </w:rPr>
        <w:t>1998</w:t>
      </w:r>
      <w:r>
        <w:rPr>
          <w:sz w:val="20"/>
          <w:szCs w:val="20"/>
          <w:lang w:val="en-GB"/>
        </w:rPr>
        <w:t>);</w:t>
      </w:r>
      <w:r w:rsidRPr="00D70BB2">
        <w:rPr>
          <w:sz w:val="20"/>
          <w:szCs w:val="20"/>
          <w:lang w:val="en-GB"/>
        </w:rPr>
        <w:t xml:space="preserve"> </w:t>
      </w:r>
      <w:r w:rsidRPr="006264F3">
        <w:rPr>
          <w:sz w:val="20"/>
          <w:szCs w:val="20"/>
          <w:lang w:val="en-GB"/>
        </w:rPr>
        <w:t>Calboli Montefusco</w:t>
      </w:r>
      <w:r w:rsidRPr="00D70BB2">
        <w:rPr>
          <w:sz w:val="20"/>
          <w:szCs w:val="20"/>
          <w:lang w:val="en-GB"/>
        </w:rPr>
        <w:t xml:space="preserve"> </w:t>
      </w:r>
      <w:r>
        <w:rPr>
          <w:sz w:val="20"/>
          <w:szCs w:val="20"/>
          <w:lang w:val="en-GB"/>
        </w:rPr>
        <w:t>(</w:t>
      </w:r>
      <w:r w:rsidRPr="00D70BB2">
        <w:rPr>
          <w:sz w:val="20"/>
          <w:szCs w:val="20"/>
          <w:lang w:val="en-GB"/>
        </w:rPr>
        <w:t>2007</w:t>
      </w:r>
      <w:r>
        <w:rPr>
          <w:sz w:val="20"/>
          <w:szCs w:val="20"/>
          <w:lang w:val="en-GB"/>
        </w:rPr>
        <w:t>);</w:t>
      </w:r>
      <w:r w:rsidRPr="00D70BB2">
        <w:rPr>
          <w:sz w:val="20"/>
          <w:szCs w:val="20"/>
          <w:lang w:val="en-GB"/>
        </w:rPr>
        <w:t xml:space="preserve"> </w:t>
      </w:r>
      <w:r w:rsidRPr="006264F3">
        <w:rPr>
          <w:sz w:val="20"/>
          <w:szCs w:val="20"/>
          <w:lang w:val="en-GB"/>
        </w:rPr>
        <w:t>Kraus</w:t>
      </w:r>
      <w:r w:rsidRPr="00D70BB2">
        <w:rPr>
          <w:sz w:val="20"/>
          <w:szCs w:val="20"/>
          <w:lang w:val="en-GB"/>
        </w:rPr>
        <w:t xml:space="preserve"> </w:t>
      </w:r>
      <w:r>
        <w:rPr>
          <w:sz w:val="20"/>
          <w:szCs w:val="20"/>
          <w:lang w:val="en-GB"/>
        </w:rPr>
        <w:t>(</w:t>
      </w:r>
      <w:r w:rsidRPr="00D70BB2">
        <w:rPr>
          <w:sz w:val="20"/>
          <w:szCs w:val="20"/>
          <w:lang w:val="en-GB"/>
        </w:rPr>
        <w:t>2011</w:t>
      </w:r>
      <w:r>
        <w:rPr>
          <w:sz w:val="20"/>
          <w:szCs w:val="20"/>
          <w:lang w:val="en-GB"/>
        </w:rPr>
        <w:t>)</w:t>
      </w:r>
      <w:r w:rsidRPr="00D70BB2">
        <w:rPr>
          <w:sz w:val="20"/>
          <w:szCs w:val="20"/>
          <w:lang w:val="en-GB"/>
        </w:rPr>
        <w:t xml:space="preserve"> 268-274.</w:t>
      </w:r>
    </w:p>
  </w:footnote>
  <w:footnote w:id="22">
    <w:p w:rsidR="00FB1069" w:rsidRPr="00AB475E" w:rsidRDefault="00FB1069" w:rsidP="00AB475E">
      <w:pPr>
        <w:pStyle w:val="Textonotapie"/>
        <w:jc w:val="both"/>
        <w:rPr>
          <w:sz w:val="20"/>
          <w:szCs w:val="20"/>
          <w:lang w:val="en-GB"/>
        </w:rPr>
      </w:pPr>
      <w:r w:rsidRPr="008B49D5">
        <w:rPr>
          <w:rStyle w:val="FootnoteCharacters"/>
          <w:sz w:val="20"/>
          <w:szCs w:val="20"/>
        </w:rPr>
        <w:footnoteRef/>
      </w:r>
      <w:r>
        <w:rPr>
          <w:sz w:val="20"/>
          <w:szCs w:val="20"/>
          <w:lang w:val="en-GB"/>
        </w:rPr>
        <w:t xml:space="preserve"> </w:t>
      </w:r>
      <w:r w:rsidRPr="00FF3EB2">
        <w:rPr>
          <w:sz w:val="20"/>
          <w:szCs w:val="20"/>
          <w:lang w:val="en-GB"/>
        </w:rPr>
        <w:t xml:space="preserve">I use the edition of </w:t>
      </w:r>
      <w:r w:rsidRPr="006264F3">
        <w:rPr>
          <w:sz w:val="20"/>
          <w:szCs w:val="20"/>
          <w:lang w:val="en-GB"/>
        </w:rPr>
        <w:t>Fuhrmann</w:t>
      </w:r>
      <w:r w:rsidRPr="00D70BB2">
        <w:rPr>
          <w:sz w:val="20"/>
          <w:szCs w:val="20"/>
          <w:lang w:val="en-GB"/>
        </w:rPr>
        <w:t xml:space="preserve"> </w:t>
      </w:r>
      <w:r>
        <w:rPr>
          <w:sz w:val="20"/>
          <w:szCs w:val="20"/>
          <w:lang w:val="en-GB"/>
        </w:rPr>
        <w:t>(</w:t>
      </w:r>
      <w:r w:rsidRPr="00D70BB2">
        <w:rPr>
          <w:sz w:val="20"/>
          <w:szCs w:val="20"/>
          <w:lang w:val="en-GB"/>
        </w:rPr>
        <w:t>1966</w:t>
      </w:r>
      <w:r>
        <w:rPr>
          <w:sz w:val="20"/>
          <w:szCs w:val="20"/>
          <w:lang w:val="en-GB"/>
        </w:rPr>
        <w:t>)</w:t>
      </w:r>
      <w:r w:rsidRPr="00D70BB2">
        <w:rPr>
          <w:sz w:val="20"/>
          <w:szCs w:val="20"/>
          <w:lang w:val="en-GB"/>
        </w:rPr>
        <w:t xml:space="preserve"> (see also </w:t>
      </w:r>
      <w:r w:rsidRPr="006264F3">
        <w:rPr>
          <w:sz w:val="20"/>
          <w:szCs w:val="20"/>
          <w:lang w:val="en-GB"/>
        </w:rPr>
        <w:t>Chiron</w:t>
      </w:r>
      <w:r w:rsidRPr="00D70BB2">
        <w:rPr>
          <w:sz w:val="20"/>
          <w:szCs w:val="20"/>
          <w:lang w:val="en-GB"/>
        </w:rPr>
        <w:t xml:space="preserve">, 2002) and Mirhady’s translation in </w:t>
      </w:r>
      <w:r>
        <w:rPr>
          <w:sz w:val="20"/>
          <w:szCs w:val="20"/>
          <w:lang w:val="en-GB"/>
        </w:rPr>
        <w:t>Mayhew and</w:t>
      </w:r>
      <w:r w:rsidRPr="006264F3">
        <w:rPr>
          <w:sz w:val="20"/>
          <w:szCs w:val="20"/>
          <w:lang w:val="en-GB"/>
        </w:rPr>
        <w:t xml:space="preserve"> </w:t>
      </w:r>
      <w:r w:rsidRPr="00AB475E">
        <w:rPr>
          <w:sz w:val="20"/>
          <w:szCs w:val="20"/>
          <w:lang w:val="en-GB"/>
        </w:rPr>
        <w:t>Mirhady (2011).</w:t>
      </w:r>
    </w:p>
  </w:footnote>
  <w:footnote w:id="23">
    <w:p w:rsidR="00FB1069" w:rsidRPr="00AB475E" w:rsidRDefault="00FB1069" w:rsidP="00AB475E">
      <w:pPr>
        <w:pStyle w:val="Textonotapie"/>
        <w:jc w:val="both"/>
        <w:rPr>
          <w:sz w:val="20"/>
          <w:szCs w:val="20"/>
          <w:lang w:val="en-GB"/>
        </w:rPr>
      </w:pPr>
      <w:r w:rsidRPr="00AB475E">
        <w:rPr>
          <w:rStyle w:val="Refdenotaalpie"/>
          <w:sz w:val="20"/>
          <w:szCs w:val="20"/>
        </w:rPr>
        <w:footnoteRef/>
      </w:r>
      <w:r w:rsidRPr="00AB475E">
        <w:rPr>
          <w:sz w:val="20"/>
          <w:szCs w:val="20"/>
          <w:lang w:val="en-GB"/>
        </w:rPr>
        <w:t xml:space="preserve"> I follow for Aristotle’s </w:t>
      </w:r>
      <w:r w:rsidRPr="00AB475E">
        <w:rPr>
          <w:i/>
          <w:sz w:val="20"/>
          <w:szCs w:val="20"/>
          <w:lang w:val="en-GB"/>
        </w:rPr>
        <w:t>Rhetoric</w:t>
      </w:r>
      <w:r w:rsidRPr="00AB475E">
        <w:rPr>
          <w:sz w:val="20"/>
          <w:szCs w:val="20"/>
          <w:lang w:val="en-GB"/>
        </w:rPr>
        <w:t xml:space="preserve"> the edition of Dufour (1967)</w:t>
      </w:r>
      <w:r>
        <w:rPr>
          <w:sz w:val="20"/>
          <w:szCs w:val="20"/>
          <w:lang w:val="en-GB"/>
        </w:rPr>
        <w:t>.</w:t>
      </w:r>
    </w:p>
  </w:footnote>
  <w:footnote w:id="24">
    <w:p w:rsidR="00FB1069" w:rsidRPr="0016461C" w:rsidRDefault="00FB1069">
      <w:pPr>
        <w:pStyle w:val="Textonotapie"/>
        <w:jc w:val="both"/>
        <w:rPr>
          <w:sz w:val="20"/>
          <w:szCs w:val="20"/>
          <w:lang w:val="en-GB"/>
        </w:rPr>
      </w:pPr>
      <w:r w:rsidRPr="0016461C">
        <w:rPr>
          <w:rStyle w:val="FootnoteCharacters"/>
          <w:sz w:val="20"/>
          <w:szCs w:val="20"/>
        </w:rPr>
        <w:footnoteRef/>
      </w:r>
      <w:r>
        <w:rPr>
          <w:sz w:val="20"/>
          <w:szCs w:val="20"/>
          <w:lang w:val="en-GB"/>
        </w:rPr>
        <w:t xml:space="preserve"> </w:t>
      </w:r>
      <w:r w:rsidRPr="00FF3EB2">
        <w:rPr>
          <w:sz w:val="20"/>
          <w:szCs w:val="20"/>
          <w:lang w:val="en-GB"/>
        </w:rPr>
        <w:t xml:space="preserve">On induction in Aristotle, cf. </w:t>
      </w:r>
      <w:r w:rsidRPr="002B4640">
        <w:rPr>
          <w:sz w:val="20"/>
          <w:szCs w:val="20"/>
          <w:lang w:val="en-GB"/>
        </w:rPr>
        <w:t>Fritz</w:t>
      </w:r>
      <w:r w:rsidRPr="00D70BB2">
        <w:rPr>
          <w:sz w:val="20"/>
          <w:szCs w:val="20"/>
          <w:lang w:val="en-GB"/>
        </w:rPr>
        <w:t xml:space="preserve"> </w:t>
      </w:r>
      <w:r>
        <w:rPr>
          <w:sz w:val="20"/>
          <w:szCs w:val="20"/>
          <w:lang w:val="en-GB"/>
        </w:rPr>
        <w:t>(</w:t>
      </w:r>
      <w:r w:rsidRPr="00D70BB2">
        <w:rPr>
          <w:sz w:val="20"/>
          <w:szCs w:val="20"/>
          <w:lang w:val="en-GB"/>
        </w:rPr>
        <w:t>1964</w:t>
      </w:r>
      <w:r>
        <w:rPr>
          <w:sz w:val="20"/>
          <w:szCs w:val="20"/>
          <w:lang w:val="en-GB"/>
        </w:rPr>
        <w:t>)</w:t>
      </w:r>
      <w:r w:rsidRPr="00D70BB2">
        <w:rPr>
          <w:sz w:val="20"/>
          <w:szCs w:val="20"/>
          <w:lang w:val="en-GB"/>
        </w:rPr>
        <w:t>.</w:t>
      </w:r>
    </w:p>
  </w:footnote>
  <w:footnote w:id="25">
    <w:p w:rsidR="00FB1069" w:rsidRPr="0016461C" w:rsidRDefault="00FB1069">
      <w:pPr>
        <w:pStyle w:val="Textonotapie"/>
        <w:jc w:val="both"/>
        <w:rPr>
          <w:sz w:val="20"/>
          <w:szCs w:val="20"/>
          <w:lang w:val="en-GB"/>
        </w:rPr>
      </w:pPr>
      <w:r w:rsidRPr="0016461C">
        <w:rPr>
          <w:rStyle w:val="FootnoteCharacters"/>
          <w:sz w:val="20"/>
          <w:szCs w:val="20"/>
        </w:rPr>
        <w:footnoteRef/>
      </w:r>
      <w:r>
        <w:rPr>
          <w:sz w:val="20"/>
          <w:szCs w:val="20"/>
          <w:lang w:val="en-GB"/>
        </w:rPr>
        <w:t xml:space="preserve"> </w:t>
      </w:r>
      <w:r w:rsidRPr="00FF3EB2">
        <w:rPr>
          <w:sz w:val="20"/>
          <w:szCs w:val="20"/>
          <w:lang w:val="en-GB"/>
        </w:rPr>
        <w:t xml:space="preserve">On example in the handbooks of the </w:t>
      </w:r>
      <w:r>
        <w:rPr>
          <w:sz w:val="20"/>
          <w:szCs w:val="20"/>
          <w:lang w:val="en-GB"/>
        </w:rPr>
        <w:t>C</w:t>
      </w:r>
      <w:r w:rsidRPr="00FF3EB2">
        <w:rPr>
          <w:sz w:val="20"/>
          <w:szCs w:val="20"/>
          <w:lang w:val="en-GB"/>
        </w:rPr>
        <w:t xml:space="preserve">lassical period, see a more detailed explanation in </w:t>
      </w:r>
      <w:r w:rsidRPr="002B4640">
        <w:rPr>
          <w:sz w:val="20"/>
          <w:szCs w:val="20"/>
          <w:lang w:val="en-GB"/>
        </w:rPr>
        <w:t>Encinas Reguero</w:t>
      </w:r>
      <w:r w:rsidRPr="00D70BB2">
        <w:rPr>
          <w:sz w:val="20"/>
          <w:szCs w:val="20"/>
          <w:lang w:val="en-GB"/>
        </w:rPr>
        <w:t xml:space="preserve"> </w:t>
      </w:r>
      <w:r>
        <w:rPr>
          <w:sz w:val="20"/>
          <w:szCs w:val="20"/>
          <w:lang w:val="en-GB"/>
        </w:rPr>
        <w:t>(</w:t>
      </w:r>
      <w:r w:rsidRPr="00D70BB2">
        <w:rPr>
          <w:sz w:val="20"/>
          <w:szCs w:val="20"/>
          <w:lang w:val="en-GB"/>
        </w:rPr>
        <w:t>2017a</w:t>
      </w:r>
      <w:r>
        <w:rPr>
          <w:sz w:val="20"/>
          <w:szCs w:val="20"/>
          <w:lang w:val="en-GB"/>
        </w:rPr>
        <w:t>)</w:t>
      </w:r>
      <w:r w:rsidRPr="00D70BB2">
        <w:rPr>
          <w:sz w:val="20"/>
          <w:szCs w:val="20"/>
          <w:lang w:val="en-GB"/>
        </w:rPr>
        <w:t xml:space="preserve"> 44-54.</w:t>
      </w:r>
    </w:p>
  </w:footnote>
  <w:footnote w:id="26">
    <w:p w:rsidR="00FB1069" w:rsidRPr="0016461C" w:rsidRDefault="00FB1069">
      <w:pPr>
        <w:pStyle w:val="Textonotapie"/>
        <w:jc w:val="both"/>
        <w:rPr>
          <w:sz w:val="20"/>
          <w:szCs w:val="20"/>
          <w:lang w:val="en-GB"/>
        </w:rPr>
      </w:pPr>
      <w:r w:rsidRPr="0016461C">
        <w:rPr>
          <w:rStyle w:val="FootnoteCharacters"/>
          <w:sz w:val="20"/>
          <w:szCs w:val="20"/>
        </w:rPr>
        <w:footnoteRef/>
      </w:r>
      <w:r>
        <w:rPr>
          <w:sz w:val="20"/>
          <w:szCs w:val="20"/>
          <w:lang w:val="en-GB"/>
        </w:rPr>
        <w:t xml:space="preserve"> </w:t>
      </w:r>
      <w:r w:rsidRPr="00FF3EB2">
        <w:rPr>
          <w:sz w:val="20"/>
          <w:szCs w:val="20"/>
          <w:lang w:val="en-GB"/>
        </w:rPr>
        <w:t>“Before the victory of Hermogenes, rhetoric as taught in Greek school</w:t>
      </w:r>
      <w:r w:rsidRPr="00D70BB2">
        <w:rPr>
          <w:sz w:val="20"/>
          <w:szCs w:val="20"/>
          <w:lang w:val="en-GB"/>
        </w:rPr>
        <w:t xml:space="preserve">s seems to have been a development of concepts originating with Aristotle but modified by the system of stasis theory developed by Hermagoras of Temnos in the second century before Christ, by the taxonomy of tropes and figures to which grammarians contributed, and by the increasing role of declamation in the schools”; cf. Kennedy, in </w:t>
      </w:r>
      <w:r>
        <w:rPr>
          <w:sz w:val="20"/>
          <w:szCs w:val="20"/>
          <w:lang w:val="en-GB"/>
        </w:rPr>
        <w:t>Dilts and</w:t>
      </w:r>
      <w:r w:rsidRPr="002B4640">
        <w:rPr>
          <w:sz w:val="20"/>
          <w:szCs w:val="20"/>
          <w:lang w:val="en-GB"/>
        </w:rPr>
        <w:t xml:space="preserve"> Kennedy</w:t>
      </w:r>
      <w:r w:rsidRPr="00D70BB2">
        <w:rPr>
          <w:sz w:val="20"/>
          <w:szCs w:val="20"/>
          <w:lang w:val="en-GB"/>
        </w:rPr>
        <w:t xml:space="preserve"> </w:t>
      </w:r>
      <w:r>
        <w:rPr>
          <w:sz w:val="20"/>
          <w:szCs w:val="20"/>
          <w:lang w:val="en-GB"/>
        </w:rPr>
        <w:t>(</w:t>
      </w:r>
      <w:r w:rsidRPr="00D70BB2">
        <w:rPr>
          <w:sz w:val="20"/>
          <w:szCs w:val="20"/>
          <w:lang w:val="en-GB"/>
        </w:rPr>
        <w:t>1997</w:t>
      </w:r>
      <w:r>
        <w:rPr>
          <w:sz w:val="20"/>
          <w:szCs w:val="20"/>
          <w:lang w:val="en-GB"/>
        </w:rPr>
        <w:t>)</w:t>
      </w:r>
      <w:r w:rsidRPr="00D70BB2">
        <w:rPr>
          <w:sz w:val="20"/>
          <w:szCs w:val="20"/>
          <w:lang w:val="en-GB"/>
        </w:rPr>
        <w:t xml:space="preserve"> ix.</w:t>
      </w:r>
    </w:p>
  </w:footnote>
  <w:footnote w:id="27">
    <w:p w:rsidR="00FB1069" w:rsidRPr="0016461C" w:rsidRDefault="00FB1069">
      <w:pPr>
        <w:pStyle w:val="Textonotapie"/>
        <w:jc w:val="both"/>
        <w:rPr>
          <w:sz w:val="20"/>
          <w:szCs w:val="20"/>
          <w:lang w:val="en-GB"/>
        </w:rPr>
      </w:pPr>
      <w:r w:rsidRPr="0016461C">
        <w:rPr>
          <w:rStyle w:val="FootnoteCharacters"/>
          <w:sz w:val="20"/>
          <w:szCs w:val="20"/>
        </w:rPr>
        <w:footnoteRef/>
      </w:r>
      <w:r>
        <w:rPr>
          <w:sz w:val="20"/>
          <w:szCs w:val="20"/>
          <w:lang w:val="en-GB"/>
        </w:rPr>
        <w:t xml:space="preserve"> </w:t>
      </w:r>
      <w:r w:rsidRPr="00FF3EB2">
        <w:rPr>
          <w:sz w:val="20"/>
          <w:szCs w:val="20"/>
          <w:lang w:val="en-GB"/>
        </w:rPr>
        <w:t xml:space="preserve">See the editions of </w:t>
      </w:r>
      <w:r>
        <w:rPr>
          <w:sz w:val="20"/>
          <w:szCs w:val="20"/>
          <w:lang w:val="en-GB"/>
        </w:rPr>
        <w:t>Dilts and</w:t>
      </w:r>
      <w:r w:rsidRPr="002B4640">
        <w:rPr>
          <w:sz w:val="20"/>
          <w:szCs w:val="20"/>
          <w:lang w:val="en-GB"/>
        </w:rPr>
        <w:t xml:space="preserve"> Kennedy</w:t>
      </w:r>
      <w:r w:rsidRPr="00D70BB2">
        <w:rPr>
          <w:sz w:val="20"/>
          <w:szCs w:val="20"/>
          <w:lang w:val="en-GB"/>
        </w:rPr>
        <w:t xml:space="preserve"> </w:t>
      </w:r>
      <w:r>
        <w:rPr>
          <w:sz w:val="20"/>
          <w:szCs w:val="20"/>
          <w:lang w:val="en-GB"/>
        </w:rPr>
        <w:t>(</w:t>
      </w:r>
      <w:r w:rsidRPr="00D70BB2">
        <w:rPr>
          <w:sz w:val="20"/>
          <w:szCs w:val="20"/>
          <w:lang w:val="en-GB"/>
        </w:rPr>
        <w:t>1997</w:t>
      </w:r>
      <w:r>
        <w:rPr>
          <w:sz w:val="20"/>
          <w:szCs w:val="20"/>
          <w:lang w:val="en-GB"/>
        </w:rPr>
        <w:t>)</w:t>
      </w:r>
      <w:r w:rsidRPr="00D70BB2">
        <w:rPr>
          <w:sz w:val="20"/>
          <w:szCs w:val="20"/>
          <w:lang w:val="en-GB"/>
        </w:rPr>
        <w:t xml:space="preserve">, </w:t>
      </w:r>
      <w:r w:rsidRPr="002B4640">
        <w:rPr>
          <w:sz w:val="20"/>
          <w:szCs w:val="20"/>
          <w:lang w:val="en-GB"/>
        </w:rPr>
        <w:t>Vottero</w:t>
      </w:r>
      <w:r w:rsidRPr="00D70BB2">
        <w:rPr>
          <w:sz w:val="20"/>
          <w:szCs w:val="20"/>
          <w:lang w:val="en-GB"/>
        </w:rPr>
        <w:t xml:space="preserve"> </w:t>
      </w:r>
      <w:r>
        <w:rPr>
          <w:sz w:val="20"/>
          <w:szCs w:val="20"/>
          <w:lang w:val="en-GB"/>
        </w:rPr>
        <w:t>(</w:t>
      </w:r>
      <w:r w:rsidRPr="00D70BB2">
        <w:rPr>
          <w:sz w:val="20"/>
          <w:szCs w:val="20"/>
          <w:lang w:val="en-GB"/>
        </w:rPr>
        <w:t>2004</w:t>
      </w:r>
      <w:r>
        <w:rPr>
          <w:sz w:val="20"/>
          <w:szCs w:val="20"/>
          <w:lang w:val="en-GB"/>
        </w:rPr>
        <w:t>)</w:t>
      </w:r>
      <w:r w:rsidRPr="00D70BB2">
        <w:rPr>
          <w:sz w:val="20"/>
          <w:szCs w:val="20"/>
          <w:lang w:val="en-GB"/>
        </w:rPr>
        <w:t xml:space="preserve"> and </w:t>
      </w:r>
      <w:r w:rsidRPr="002B4640">
        <w:rPr>
          <w:sz w:val="20"/>
          <w:szCs w:val="20"/>
          <w:lang w:val="en-GB"/>
        </w:rPr>
        <w:t>Patillon</w:t>
      </w:r>
      <w:r w:rsidRPr="00946E4F">
        <w:rPr>
          <w:sz w:val="20"/>
          <w:szCs w:val="20"/>
          <w:lang w:val="en-GB"/>
        </w:rPr>
        <w:t xml:space="preserve"> </w:t>
      </w:r>
      <w:r>
        <w:rPr>
          <w:sz w:val="20"/>
          <w:szCs w:val="20"/>
          <w:lang w:val="en-GB"/>
        </w:rPr>
        <w:t>(</w:t>
      </w:r>
      <w:r w:rsidRPr="00946E4F">
        <w:rPr>
          <w:sz w:val="20"/>
          <w:szCs w:val="20"/>
          <w:lang w:val="en-GB"/>
        </w:rPr>
        <w:t>2005</w:t>
      </w:r>
      <w:r>
        <w:rPr>
          <w:sz w:val="20"/>
          <w:szCs w:val="20"/>
          <w:lang w:val="en-GB"/>
        </w:rPr>
        <w:t>)</w:t>
      </w:r>
      <w:r w:rsidRPr="00946E4F">
        <w:rPr>
          <w:sz w:val="20"/>
          <w:szCs w:val="20"/>
          <w:lang w:val="en-GB"/>
        </w:rPr>
        <w:t>.</w:t>
      </w:r>
    </w:p>
  </w:footnote>
  <w:footnote w:id="28">
    <w:p w:rsidR="00FB1069" w:rsidRPr="0016461C" w:rsidRDefault="00FB1069">
      <w:pPr>
        <w:pStyle w:val="Textonotapie"/>
        <w:jc w:val="both"/>
        <w:rPr>
          <w:sz w:val="20"/>
          <w:szCs w:val="20"/>
          <w:lang w:val="en-GB"/>
        </w:rPr>
      </w:pPr>
      <w:r w:rsidRPr="0016461C">
        <w:rPr>
          <w:rStyle w:val="FootnoteCharacters"/>
          <w:sz w:val="20"/>
          <w:szCs w:val="20"/>
        </w:rPr>
        <w:footnoteRef/>
      </w:r>
      <w:r>
        <w:rPr>
          <w:sz w:val="20"/>
          <w:szCs w:val="20"/>
          <w:lang w:val="en-GB"/>
        </w:rPr>
        <w:t xml:space="preserve"> </w:t>
      </w:r>
      <w:r w:rsidRPr="00FF3EB2">
        <w:rPr>
          <w:sz w:val="20"/>
          <w:szCs w:val="20"/>
          <w:lang w:val="en-GB"/>
        </w:rPr>
        <w:t xml:space="preserve">Cf. Kennedy in </w:t>
      </w:r>
      <w:r>
        <w:rPr>
          <w:sz w:val="20"/>
          <w:szCs w:val="20"/>
          <w:lang w:val="en-GB"/>
        </w:rPr>
        <w:t>Dilts and</w:t>
      </w:r>
      <w:r w:rsidRPr="002B4640">
        <w:rPr>
          <w:sz w:val="20"/>
          <w:szCs w:val="20"/>
          <w:lang w:val="en-GB"/>
        </w:rPr>
        <w:t xml:space="preserve"> Kennedy</w:t>
      </w:r>
      <w:r w:rsidRPr="00D70BB2">
        <w:rPr>
          <w:sz w:val="20"/>
          <w:szCs w:val="20"/>
          <w:lang w:val="en-GB"/>
        </w:rPr>
        <w:t xml:space="preserve"> </w:t>
      </w:r>
      <w:r>
        <w:rPr>
          <w:sz w:val="20"/>
          <w:szCs w:val="20"/>
          <w:lang w:val="en-GB"/>
        </w:rPr>
        <w:t>(</w:t>
      </w:r>
      <w:r w:rsidRPr="00D70BB2">
        <w:rPr>
          <w:sz w:val="20"/>
          <w:szCs w:val="20"/>
          <w:lang w:val="en-GB"/>
        </w:rPr>
        <w:t>1997</w:t>
      </w:r>
      <w:r>
        <w:rPr>
          <w:sz w:val="20"/>
          <w:szCs w:val="20"/>
          <w:lang w:val="en-GB"/>
        </w:rPr>
        <w:t>)</w:t>
      </w:r>
      <w:r w:rsidRPr="00D70BB2">
        <w:rPr>
          <w:sz w:val="20"/>
          <w:szCs w:val="20"/>
          <w:lang w:val="en-GB"/>
        </w:rPr>
        <w:t xml:space="preserve"> xi-xiv, and </w:t>
      </w:r>
      <w:r w:rsidRPr="002B4640">
        <w:rPr>
          <w:sz w:val="20"/>
          <w:szCs w:val="20"/>
          <w:lang w:val="en-GB"/>
        </w:rPr>
        <w:t>Kennedy</w:t>
      </w:r>
      <w:r w:rsidRPr="00D70BB2">
        <w:rPr>
          <w:sz w:val="20"/>
          <w:szCs w:val="20"/>
          <w:lang w:val="en-GB"/>
        </w:rPr>
        <w:t xml:space="preserve"> </w:t>
      </w:r>
      <w:r>
        <w:rPr>
          <w:sz w:val="20"/>
          <w:szCs w:val="20"/>
          <w:lang w:val="en-GB"/>
        </w:rPr>
        <w:t>(</w:t>
      </w:r>
      <w:r w:rsidRPr="00D70BB2">
        <w:rPr>
          <w:sz w:val="20"/>
          <w:szCs w:val="20"/>
          <w:lang w:val="en-GB"/>
        </w:rPr>
        <w:t>2003a</w:t>
      </w:r>
      <w:r>
        <w:rPr>
          <w:sz w:val="20"/>
          <w:szCs w:val="20"/>
          <w:lang w:val="en-GB"/>
        </w:rPr>
        <w:t>)</w:t>
      </w:r>
      <w:r w:rsidRPr="00946E4F">
        <w:rPr>
          <w:sz w:val="20"/>
          <w:szCs w:val="20"/>
          <w:lang w:val="en-GB"/>
        </w:rPr>
        <w:t xml:space="preserve"> 300. Kennedy disagrees </w:t>
      </w:r>
      <w:r w:rsidRPr="003A54D5">
        <w:rPr>
          <w:sz w:val="20"/>
          <w:szCs w:val="20"/>
          <w:lang w:val="en-GB"/>
        </w:rPr>
        <w:t xml:space="preserve">with the proposal made in 1891 by Graeven, who understood this </w:t>
      </w:r>
      <w:r>
        <w:rPr>
          <w:sz w:val="20"/>
          <w:szCs w:val="20"/>
          <w:lang w:val="en-GB"/>
        </w:rPr>
        <w:t>work</w:t>
      </w:r>
      <w:r w:rsidRPr="003A54D5">
        <w:rPr>
          <w:sz w:val="20"/>
          <w:szCs w:val="20"/>
          <w:lang w:val="en-GB"/>
        </w:rPr>
        <w:t xml:space="preserve"> as an epitome of a lost </w:t>
      </w:r>
      <w:r>
        <w:rPr>
          <w:sz w:val="20"/>
          <w:szCs w:val="20"/>
          <w:lang w:val="en-GB"/>
        </w:rPr>
        <w:t>work</w:t>
      </w:r>
      <w:r w:rsidRPr="003A54D5">
        <w:rPr>
          <w:sz w:val="20"/>
          <w:szCs w:val="20"/>
          <w:lang w:val="en-GB"/>
        </w:rPr>
        <w:t xml:space="preserve"> of Cornutus.</w:t>
      </w:r>
    </w:p>
  </w:footnote>
  <w:footnote w:id="29">
    <w:p w:rsidR="00FB1069" w:rsidRPr="0016461C" w:rsidRDefault="00FB1069">
      <w:pPr>
        <w:pStyle w:val="Textonotapie"/>
        <w:rPr>
          <w:sz w:val="20"/>
          <w:szCs w:val="20"/>
          <w:lang w:val="en-GB"/>
        </w:rPr>
      </w:pPr>
      <w:r w:rsidRPr="0016461C">
        <w:rPr>
          <w:rStyle w:val="FootnoteCharacters"/>
          <w:sz w:val="20"/>
          <w:szCs w:val="20"/>
        </w:rPr>
        <w:footnoteRef/>
      </w:r>
      <w:r>
        <w:rPr>
          <w:sz w:val="20"/>
          <w:szCs w:val="20"/>
          <w:lang w:val="en-GB"/>
        </w:rPr>
        <w:t xml:space="preserve"> </w:t>
      </w:r>
      <w:r w:rsidRPr="00FF3EB2">
        <w:rPr>
          <w:sz w:val="20"/>
          <w:szCs w:val="20"/>
          <w:lang w:val="en-GB"/>
        </w:rPr>
        <w:t xml:space="preserve">Cf. </w:t>
      </w:r>
      <w:r>
        <w:rPr>
          <w:sz w:val="20"/>
          <w:szCs w:val="20"/>
          <w:lang w:val="en-GB"/>
        </w:rPr>
        <w:t>Dilts and</w:t>
      </w:r>
      <w:r w:rsidRPr="002B4640">
        <w:rPr>
          <w:sz w:val="20"/>
          <w:szCs w:val="20"/>
          <w:lang w:val="en-GB"/>
        </w:rPr>
        <w:t xml:space="preserve"> Kennedy</w:t>
      </w:r>
      <w:r w:rsidRPr="00D70BB2">
        <w:rPr>
          <w:sz w:val="20"/>
          <w:szCs w:val="20"/>
          <w:lang w:val="en-GB"/>
        </w:rPr>
        <w:t xml:space="preserve"> </w:t>
      </w:r>
      <w:r>
        <w:rPr>
          <w:sz w:val="20"/>
          <w:szCs w:val="20"/>
          <w:lang w:val="en-GB"/>
        </w:rPr>
        <w:t>(</w:t>
      </w:r>
      <w:r w:rsidRPr="00D70BB2">
        <w:rPr>
          <w:sz w:val="20"/>
          <w:szCs w:val="20"/>
          <w:lang w:val="en-GB"/>
        </w:rPr>
        <w:t>1997</w:t>
      </w:r>
      <w:r>
        <w:rPr>
          <w:sz w:val="20"/>
          <w:szCs w:val="20"/>
          <w:lang w:val="en-GB"/>
        </w:rPr>
        <w:t>)</w:t>
      </w:r>
      <w:r w:rsidRPr="00D70BB2">
        <w:rPr>
          <w:sz w:val="20"/>
          <w:szCs w:val="20"/>
          <w:lang w:val="en-GB"/>
        </w:rPr>
        <w:t xml:space="preserve"> xiii, </w:t>
      </w:r>
      <w:r w:rsidRPr="002B4640">
        <w:rPr>
          <w:sz w:val="20"/>
          <w:szCs w:val="20"/>
          <w:lang w:val="en-GB"/>
        </w:rPr>
        <w:t>Vottero</w:t>
      </w:r>
      <w:r w:rsidRPr="00D70BB2">
        <w:rPr>
          <w:sz w:val="20"/>
          <w:szCs w:val="20"/>
          <w:lang w:val="en-GB"/>
        </w:rPr>
        <w:t xml:space="preserve"> </w:t>
      </w:r>
      <w:r>
        <w:rPr>
          <w:sz w:val="20"/>
          <w:szCs w:val="20"/>
          <w:lang w:val="en-GB"/>
        </w:rPr>
        <w:t>(</w:t>
      </w:r>
      <w:r w:rsidRPr="00D70BB2">
        <w:rPr>
          <w:sz w:val="20"/>
          <w:szCs w:val="20"/>
          <w:lang w:val="en-GB"/>
        </w:rPr>
        <w:t>2004</w:t>
      </w:r>
      <w:r>
        <w:rPr>
          <w:sz w:val="20"/>
          <w:szCs w:val="20"/>
          <w:lang w:val="en-GB"/>
        </w:rPr>
        <w:t>)</w:t>
      </w:r>
      <w:r w:rsidRPr="00D70BB2">
        <w:rPr>
          <w:sz w:val="20"/>
          <w:szCs w:val="20"/>
          <w:lang w:val="en-GB"/>
        </w:rPr>
        <w:t xml:space="preserve"> 93-95.</w:t>
      </w:r>
    </w:p>
  </w:footnote>
  <w:footnote w:id="30">
    <w:p w:rsidR="00FB1069" w:rsidRPr="0016461C" w:rsidRDefault="00FB1069">
      <w:pPr>
        <w:pStyle w:val="Textonotapie"/>
        <w:jc w:val="both"/>
        <w:rPr>
          <w:sz w:val="20"/>
          <w:szCs w:val="20"/>
          <w:lang w:val="en-GB"/>
        </w:rPr>
      </w:pPr>
      <w:r w:rsidRPr="0016461C">
        <w:rPr>
          <w:rStyle w:val="FootnoteCharacters"/>
          <w:sz w:val="20"/>
          <w:szCs w:val="20"/>
        </w:rPr>
        <w:footnoteRef/>
      </w:r>
      <w:r>
        <w:rPr>
          <w:sz w:val="20"/>
          <w:szCs w:val="20"/>
          <w:lang w:val="en-GB"/>
        </w:rPr>
        <w:t xml:space="preserve"> On</w:t>
      </w:r>
      <w:r w:rsidRPr="00FF3EB2">
        <w:rPr>
          <w:sz w:val="20"/>
          <w:szCs w:val="20"/>
          <w:lang w:val="en-GB"/>
        </w:rPr>
        <w:t xml:space="preserve"> this point there is an </w:t>
      </w:r>
      <w:r>
        <w:rPr>
          <w:sz w:val="20"/>
          <w:szCs w:val="20"/>
          <w:lang w:val="en-GB"/>
        </w:rPr>
        <w:t>interesting</w:t>
      </w:r>
      <w:r w:rsidRPr="00FF3EB2">
        <w:rPr>
          <w:sz w:val="20"/>
          <w:szCs w:val="20"/>
          <w:lang w:val="en-GB"/>
        </w:rPr>
        <w:t xml:space="preserve"> difference between </w:t>
      </w:r>
      <w:r w:rsidRPr="00D70BB2">
        <w:rPr>
          <w:sz w:val="20"/>
          <w:szCs w:val="20"/>
          <w:lang w:val="en-GB"/>
        </w:rPr>
        <w:t xml:space="preserve">the edition of </w:t>
      </w:r>
      <w:r>
        <w:rPr>
          <w:sz w:val="20"/>
          <w:szCs w:val="20"/>
          <w:lang w:val="en-GB"/>
        </w:rPr>
        <w:t>Dilts and</w:t>
      </w:r>
      <w:r w:rsidRPr="00C94A78">
        <w:rPr>
          <w:sz w:val="20"/>
          <w:szCs w:val="20"/>
          <w:lang w:val="en-GB"/>
        </w:rPr>
        <w:t xml:space="preserve"> Kennedy</w:t>
      </w:r>
      <w:r w:rsidRPr="00D70BB2">
        <w:rPr>
          <w:sz w:val="20"/>
          <w:szCs w:val="20"/>
          <w:lang w:val="en-GB"/>
        </w:rPr>
        <w:t xml:space="preserve"> </w:t>
      </w:r>
      <w:r>
        <w:rPr>
          <w:sz w:val="20"/>
          <w:szCs w:val="20"/>
          <w:lang w:val="en-GB"/>
        </w:rPr>
        <w:t>(</w:t>
      </w:r>
      <w:r w:rsidRPr="00D70BB2">
        <w:rPr>
          <w:sz w:val="20"/>
          <w:szCs w:val="20"/>
          <w:lang w:val="en-GB"/>
        </w:rPr>
        <w:t>1997</w:t>
      </w:r>
      <w:r>
        <w:rPr>
          <w:sz w:val="20"/>
          <w:szCs w:val="20"/>
          <w:lang w:val="en-GB"/>
        </w:rPr>
        <w:t>)</w:t>
      </w:r>
      <w:r w:rsidRPr="00D70BB2">
        <w:rPr>
          <w:sz w:val="20"/>
          <w:szCs w:val="20"/>
          <w:lang w:val="en-GB"/>
        </w:rPr>
        <w:t xml:space="preserve"> 42-43, which mentions only three forms: probability, sign (</w:t>
      </w:r>
      <w:r w:rsidRPr="00946E4F">
        <w:rPr>
          <w:sz w:val="20"/>
          <w:szCs w:val="20"/>
          <w:lang w:val="el-GR"/>
        </w:rPr>
        <w:t>τεκμ</w:t>
      </w:r>
      <w:r w:rsidRPr="00946E4F">
        <w:rPr>
          <w:rFonts w:ascii="GR Times New Roman" w:hAnsi="GR Times New Roman" w:cs="GR Times New Roman"/>
          <w:sz w:val="20"/>
          <w:szCs w:val="20"/>
        </w:rPr>
        <w:t>ήριον</w:t>
      </w:r>
      <w:r w:rsidRPr="0030728A">
        <w:rPr>
          <w:sz w:val="20"/>
          <w:szCs w:val="20"/>
          <w:lang w:val="en-GB"/>
        </w:rPr>
        <w:t xml:space="preserve">) and example, and, on the other hand, the edition of </w:t>
      </w:r>
      <w:r w:rsidRPr="00C94A78">
        <w:rPr>
          <w:sz w:val="20"/>
          <w:szCs w:val="20"/>
          <w:lang w:val="en-GB"/>
        </w:rPr>
        <w:t>Patillon</w:t>
      </w:r>
      <w:r w:rsidRPr="003A54D5">
        <w:rPr>
          <w:sz w:val="20"/>
          <w:szCs w:val="20"/>
          <w:lang w:val="en-GB"/>
        </w:rPr>
        <w:t xml:space="preserve"> </w:t>
      </w:r>
      <w:r>
        <w:rPr>
          <w:sz w:val="20"/>
          <w:szCs w:val="20"/>
          <w:lang w:val="en-GB"/>
        </w:rPr>
        <w:t>(</w:t>
      </w:r>
      <w:r w:rsidRPr="003A54D5">
        <w:rPr>
          <w:sz w:val="20"/>
          <w:szCs w:val="20"/>
          <w:lang w:val="en-GB"/>
        </w:rPr>
        <w:t>2005</w:t>
      </w:r>
      <w:r>
        <w:rPr>
          <w:sz w:val="20"/>
          <w:szCs w:val="20"/>
          <w:lang w:val="en-GB"/>
        </w:rPr>
        <w:t>)</w:t>
      </w:r>
      <w:r w:rsidRPr="003A54D5">
        <w:rPr>
          <w:sz w:val="20"/>
          <w:szCs w:val="20"/>
          <w:lang w:val="en-GB"/>
        </w:rPr>
        <w:t xml:space="preserve">, which adds the </w:t>
      </w:r>
      <w:r w:rsidRPr="003A54D5">
        <w:rPr>
          <w:rFonts w:ascii="GR Times New Roman" w:hAnsi="GR Times New Roman" w:cs="GR Times New Roman"/>
          <w:sz w:val="20"/>
          <w:szCs w:val="20"/>
          <w:lang w:val="el-GR"/>
        </w:rPr>
        <w:t>σημε</w:t>
      </w:r>
      <w:r w:rsidRPr="00A21F2C">
        <w:rPr>
          <w:rFonts w:ascii="GR Times New Roman" w:hAnsi="GR Times New Roman" w:cs="GR Times New Roman"/>
          <w:sz w:val="20"/>
          <w:szCs w:val="20"/>
        </w:rPr>
        <w:t>ῖον</w:t>
      </w:r>
      <w:r w:rsidRPr="003C7826">
        <w:rPr>
          <w:sz w:val="20"/>
          <w:szCs w:val="20"/>
          <w:lang w:val="en-GB"/>
        </w:rPr>
        <w:t>.</w:t>
      </w:r>
    </w:p>
  </w:footnote>
  <w:footnote w:id="31">
    <w:p w:rsidR="00FB1069" w:rsidRPr="00AE758C" w:rsidRDefault="00FB1069">
      <w:pPr>
        <w:pStyle w:val="Textonotapie"/>
        <w:jc w:val="both"/>
        <w:rPr>
          <w:sz w:val="20"/>
          <w:szCs w:val="20"/>
          <w:lang w:val="en-GB"/>
        </w:rPr>
      </w:pPr>
      <w:r w:rsidRPr="00E21D90">
        <w:rPr>
          <w:rStyle w:val="FootnoteCharacters"/>
          <w:sz w:val="20"/>
          <w:szCs w:val="20"/>
        </w:rPr>
        <w:footnoteRef/>
      </w:r>
      <w:r>
        <w:rPr>
          <w:sz w:val="20"/>
          <w:szCs w:val="20"/>
          <w:lang w:val="en-GB"/>
        </w:rPr>
        <w:t xml:space="preserve"> </w:t>
      </w:r>
      <w:r w:rsidRPr="00FF3EB2">
        <w:rPr>
          <w:sz w:val="20"/>
          <w:szCs w:val="20"/>
          <w:lang w:val="en-GB"/>
        </w:rPr>
        <w:t xml:space="preserve">As </w:t>
      </w:r>
      <w:r w:rsidRPr="00C94A78">
        <w:rPr>
          <w:sz w:val="20"/>
          <w:szCs w:val="20"/>
          <w:lang w:val="en-GB"/>
        </w:rPr>
        <w:t>Kennedy</w:t>
      </w:r>
      <w:r w:rsidRPr="00D70BB2">
        <w:rPr>
          <w:sz w:val="20"/>
          <w:szCs w:val="20"/>
          <w:lang w:val="en-GB"/>
        </w:rPr>
        <w:t xml:space="preserve"> </w:t>
      </w:r>
      <w:r>
        <w:rPr>
          <w:sz w:val="20"/>
          <w:szCs w:val="20"/>
          <w:lang w:val="en-GB"/>
        </w:rPr>
        <w:t>(</w:t>
      </w:r>
      <w:r w:rsidRPr="00D70BB2">
        <w:rPr>
          <w:sz w:val="20"/>
          <w:szCs w:val="20"/>
          <w:lang w:val="en-GB"/>
        </w:rPr>
        <w:t>2003a</w:t>
      </w:r>
      <w:r>
        <w:rPr>
          <w:sz w:val="20"/>
          <w:szCs w:val="20"/>
          <w:lang w:val="en-GB"/>
        </w:rPr>
        <w:t>)</w:t>
      </w:r>
      <w:r w:rsidRPr="00D70BB2">
        <w:rPr>
          <w:sz w:val="20"/>
          <w:szCs w:val="20"/>
          <w:lang w:val="en-GB"/>
        </w:rPr>
        <w:t xml:space="preserve"> 300, stresses, this handbook is </w:t>
      </w:r>
      <w:r>
        <w:rPr>
          <w:sz w:val="20"/>
          <w:szCs w:val="20"/>
          <w:lang w:val="en-GB"/>
        </w:rPr>
        <w:t>e</w:t>
      </w:r>
      <w:r w:rsidRPr="00D70BB2">
        <w:rPr>
          <w:sz w:val="20"/>
          <w:szCs w:val="20"/>
          <w:lang w:val="en-GB"/>
        </w:rPr>
        <w:t xml:space="preserve">specially interesting, since it identifies the sources from which each idea comes, something not very usual in the handbooks of </w:t>
      </w:r>
      <w:r w:rsidRPr="00946E4F">
        <w:rPr>
          <w:sz w:val="20"/>
          <w:szCs w:val="20"/>
          <w:lang w:val="en-GB"/>
        </w:rPr>
        <w:t>G</w:t>
      </w:r>
      <w:r w:rsidRPr="0030728A">
        <w:rPr>
          <w:sz w:val="20"/>
          <w:szCs w:val="20"/>
          <w:lang w:val="en-GB"/>
        </w:rPr>
        <w:t xml:space="preserve">reek rhetoric from the </w:t>
      </w:r>
      <w:r>
        <w:rPr>
          <w:sz w:val="20"/>
          <w:szCs w:val="20"/>
          <w:lang w:val="en-GB"/>
        </w:rPr>
        <w:t>I</w:t>
      </w:r>
      <w:r w:rsidRPr="00FF3EB2">
        <w:rPr>
          <w:sz w:val="20"/>
          <w:szCs w:val="20"/>
          <w:lang w:val="en-GB"/>
        </w:rPr>
        <w:t xml:space="preserve">mperial period. On the sources of the </w:t>
      </w:r>
      <w:r w:rsidRPr="00D70BB2">
        <w:rPr>
          <w:i/>
          <w:sz w:val="20"/>
          <w:szCs w:val="20"/>
          <w:lang w:val="en-GB"/>
        </w:rPr>
        <w:t>Anonymous Seguerianus</w:t>
      </w:r>
      <w:r w:rsidRPr="00D70BB2">
        <w:rPr>
          <w:sz w:val="20"/>
          <w:szCs w:val="20"/>
          <w:lang w:val="en-GB"/>
        </w:rPr>
        <w:t xml:space="preserve">, cf. </w:t>
      </w:r>
      <w:r w:rsidRPr="00C94A78">
        <w:rPr>
          <w:sz w:val="20"/>
          <w:szCs w:val="20"/>
          <w:lang w:val="en-GB"/>
        </w:rPr>
        <w:t>Patillon</w:t>
      </w:r>
      <w:r w:rsidRPr="00D70BB2">
        <w:rPr>
          <w:sz w:val="20"/>
          <w:szCs w:val="20"/>
          <w:lang w:val="en-GB"/>
        </w:rPr>
        <w:t xml:space="preserve"> </w:t>
      </w:r>
      <w:r>
        <w:rPr>
          <w:sz w:val="20"/>
          <w:szCs w:val="20"/>
          <w:lang w:val="en-GB"/>
        </w:rPr>
        <w:t>(</w:t>
      </w:r>
      <w:r w:rsidRPr="00D70BB2">
        <w:rPr>
          <w:sz w:val="20"/>
          <w:szCs w:val="20"/>
          <w:lang w:val="en-GB"/>
        </w:rPr>
        <w:t>2005</w:t>
      </w:r>
      <w:r>
        <w:rPr>
          <w:sz w:val="20"/>
          <w:szCs w:val="20"/>
          <w:lang w:val="en-GB"/>
        </w:rPr>
        <w:t>)</w:t>
      </w:r>
      <w:r w:rsidRPr="00D70BB2">
        <w:rPr>
          <w:sz w:val="20"/>
          <w:szCs w:val="20"/>
          <w:lang w:val="en-GB"/>
        </w:rPr>
        <w:t xml:space="preserve"> xxxii-lxxiv.</w:t>
      </w:r>
    </w:p>
  </w:footnote>
  <w:footnote w:id="32">
    <w:p w:rsidR="00FB1069" w:rsidRPr="00AE758C" w:rsidRDefault="00FB1069">
      <w:pPr>
        <w:pStyle w:val="Textonotapie"/>
        <w:jc w:val="both"/>
        <w:rPr>
          <w:sz w:val="20"/>
          <w:szCs w:val="20"/>
          <w:lang w:val="en-GB"/>
        </w:rPr>
      </w:pPr>
      <w:r w:rsidRPr="00AE758C">
        <w:rPr>
          <w:rStyle w:val="FootnoteCharacters"/>
          <w:sz w:val="20"/>
          <w:szCs w:val="20"/>
        </w:rPr>
        <w:footnoteRef/>
      </w:r>
      <w:r>
        <w:rPr>
          <w:sz w:val="20"/>
          <w:szCs w:val="20"/>
          <w:lang w:val="en-GB"/>
        </w:rPr>
        <w:t xml:space="preserve"> </w:t>
      </w:r>
      <w:r w:rsidRPr="00D70BB2">
        <w:rPr>
          <w:sz w:val="20"/>
          <w:szCs w:val="20"/>
          <w:lang w:val="en-GB"/>
        </w:rPr>
        <w:t xml:space="preserve">I use for the </w:t>
      </w:r>
      <w:r w:rsidRPr="00D70BB2">
        <w:rPr>
          <w:i/>
          <w:sz w:val="20"/>
          <w:szCs w:val="20"/>
          <w:lang w:val="en-GB"/>
        </w:rPr>
        <w:t>Anonymous Seguerianus</w:t>
      </w:r>
      <w:r>
        <w:rPr>
          <w:sz w:val="20"/>
          <w:szCs w:val="20"/>
          <w:lang w:val="en-GB"/>
        </w:rPr>
        <w:t xml:space="preserve"> the edition and translation by</w:t>
      </w:r>
      <w:r w:rsidRPr="00D70BB2">
        <w:rPr>
          <w:sz w:val="20"/>
          <w:szCs w:val="20"/>
          <w:lang w:val="en-GB"/>
        </w:rPr>
        <w:t xml:space="preserve"> </w:t>
      </w:r>
      <w:r>
        <w:rPr>
          <w:sz w:val="20"/>
          <w:szCs w:val="20"/>
          <w:lang w:val="en-GB"/>
        </w:rPr>
        <w:t>Dilts and</w:t>
      </w:r>
      <w:r w:rsidRPr="00C94A78">
        <w:rPr>
          <w:sz w:val="20"/>
          <w:szCs w:val="20"/>
          <w:lang w:val="en-GB"/>
        </w:rPr>
        <w:t xml:space="preserve"> Kennedy</w:t>
      </w:r>
      <w:r w:rsidRPr="00946E4F">
        <w:rPr>
          <w:sz w:val="20"/>
          <w:szCs w:val="20"/>
          <w:lang w:val="en-GB"/>
        </w:rPr>
        <w:t xml:space="preserve"> </w:t>
      </w:r>
      <w:r>
        <w:rPr>
          <w:sz w:val="20"/>
          <w:szCs w:val="20"/>
          <w:lang w:val="en-GB"/>
        </w:rPr>
        <w:t>(</w:t>
      </w:r>
      <w:r w:rsidRPr="00946E4F">
        <w:rPr>
          <w:sz w:val="20"/>
          <w:szCs w:val="20"/>
          <w:lang w:val="en-GB"/>
        </w:rPr>
        <w:t>1997</w:t>
      </w:r>
      <w:r>
        <w:rPr>
          <w:sz w:val="20"/>
          <w:szCs w:val="20"/>
          <w:lang w:val="en-GB"/>
        </w:rPr>
        <w:t>)</w:t>
      </w:r>
      <w:r w:rsidRPr="00946E4F">
        <w:rPr>
          <w:sz w:val="20"/>
          <w:szCs w:val="20"/>
          <w:lang w:val="en-GB"/>
        </w:rPr>
        <w:t>.</w:t>
      </w:r>
    </w:p>
  </w:footnote>
  <w:footnote w:id="33">
    <w:p w:rsidR="00FB1069" w:rsidRPr="00AE758C" w:rsidRDefault="00FB1069">
      <w:pPr>
        <w:pStyle w:val="Textonotapie"/>
        <w:jc w:val="both"/>
        <w:rPr>
          <w:sz w:val="20"/>
          <w:szCs w:val="20"/>
          <w:lang w:val="en-GB"/>
        </w:rPr>
      </w:pPr>
      <w:r w:rsidRPr="00AE758C">
        <w:rPr>
          <w:rStyle w:val="FootnoteCharacters"/>
          <w:sz w:val="20"/>
          <w:szCs w:val="20"/>
        </w:rPr>
        <w:footnoteRef/>
      </w:r>
      <w:r>
        <w:rPr>
          <w:sz w:val="20"/>
          <w:szCs w:val="20"/>
          <w:lang w:val="en-GB"/>
        </w:rPr>
        <w:t xml:space="preserve"> </w:t>
      </w:r>
      <w:r w:rsidRPr="00AE758C">
        <w:rPr>
          <w:sz w:val="20"/>
          <w:szCs w:val="20"/>
          <w:lang w:val="en-GB"/>
        </w:rPr>
        <w:t xml:space="preserve">Cf. </w:t>
      </w:r>
      <w:r w:rsidRPr="00786676">
        <w:rPr>
          <w:sz w:val="20"/>
          <w:szCs w:val="20"/>
          <w:lang w:val="en-GB"/>
        </w:rPr>
        <w:t>Martin</w:t>
      </w:r>
      <w:r w:rsidRPr="00AE758C">
        <w:rPr>
          <w:sz w:val="20"/>
          <w:szCs w:val="20"/>
          <w:lang w:val="en-GB"/>
        </w:rPr>
        <w:t xml:space="preserve"> </w:t>
      </w:r>
      <w:r>
        <w:rPr>
          <w:sz w:val="20"/>
          <w:szCs w:val="20"/>
          <w:lang w:val="en-GB"/>
        </w:rPr>
        <w:t>(</w:t>
      </w:r>
      <w:r w:rsidRPr="00AE758C">
        <w:rPr>
          <w:sz w:val="20"/>
          <w:szCs w:val="20"/>
          <w:lang w:val="en-GB"/>
        </w:rPr>
        <w:t>1974</w:t>
      </w:r>
      <w:r>
        <w:rPr>
          <w:sz w:val="20"/>
          <w:szCs w:val="20"/>
          <w:lang w:val="en-GB"/>
        </w:rPr>
        <w:t>)</w:t>
      </w:r>
      <w:r w:rsidRPr="00AE758C">
        <w:rPr>
          <w:sz w:val="20"/>
          <w:szCs w:val="20"/>
          <w:lang w:val="en-GB"/>
        </w:rPr>
        <w:t xml:space="preserve"> 119.</w:t>
      </w:r>
    </w:p>
  </w:footnote>
  <w:footnote w:id="34">
    <w:p w:rsidR="00FB1069" w:rsidRPr="00AE758C" w:rsidRDefault="00FB1069">
      <w:pPr>
        <w:pStyle w:val="Textonotapie"/>
        <w:jc w:val="both"/>
        <w:rPr>
          <w:sz w:val="20"/>
          <w:szCs w:val="20"/>
          <w:lang w:val="en-GB"/>
        </w:rPr>
      </w:pPr>
      <w:r w:rsidRPr="00AE758C">
        <w:rPr>
          <w:rStyle w:val="FootnoteCharacters"/>
          <w:sz w:val="20"/>
          <w:szCs w:val="20"/>
        </w:rPr>
        <w:footnoteRef/>
      </w:r>
      <w:r>
        <w:rPr>
          <w:sz w:val="20"/>
          <w:szCs w:val="20"/>
          <w:lang w:val="en-GB"/>
        </w:rPr>
        <w:t xml:space="preserve"> </w:t>
      </w:r>
      <w:r w:rsidRPr="00FF3EB2">
        <w:rPr>
          <w:sz w:val="20"/>
          <w:szCs w:val="20"/>
          <w:lang w:val="en-GB"/>
        </w:rPr>
        <w:t xml:space="preserve">Aristotle makes it clear that the </w:t>
      </w:r>
      <w:r w:rsidRPr="00D70BB2">
        <w:rPr>
          <w:i/>
          <w:sz w:val="20"/>
          <w:szCs w:val="20"/>
          <w:lang w:val="en-GB"/>
        </w:rPr>
        <w:t>paradeigma</w:t>
      </w:r>
      <w:r w:rsidRPr="00D70BB2">
        <w:rPr>
          <w:sz w:val="20"/>
          <w:szCs w:val="20"/>
          <w:lang w:val="en-GB"/>
        </w:rPr>
        <w:t xml:space="preserve"> implies a relation of the part to the part (</w:t>
      </w:r>
      <w:r w:rsidRPr="00D70BB2">
        <w:rPr>
          <w:i/>
          <w:sz w:val="20"/>
          <w:szCs w:val="20"/>
          <w:lang w:val="en-GB"/>
        </w:rPr>
        <w:t>Rh</w:t>
      </w:r>
      <w:r w:rsidRPr="00D70BB2">
        <w:rPr>
          <w:sz w:val="20"/>
          <w:szCs w:val="20"/>
          <w:lang w:val="en-GB"/>
        </w:rPr>
        <w:t xml:space="preserve">. 1357b26-30), which implies an essential difference </w:t>
      </w:r>
      <w:r>
        <w:rPr>
          <w:sz w:val="20"/>
          <w:szCs w:val="20"/>
          <w:lang w:val="en-GB"/>
        </w:rPr>
        <w:t>with regard</w:t>
      </w:r>
      <w:r w:rsidRPr="00D70BB2">
        <w:rPr>
          <w:sz w:val="20"/>
          <w:szCs w:val="20"/>
          <w:lang w:val="en-GB"/>
        </w:rPr>
        <w:t xml:space="preserve"> </w:t>
      </w:r>
      <w:r>
        <w:rPr>
          <w:sz w:val="20"/>
          <w:szCs w:val="20"/>
          <w:lang w:val="en-GB"/>
        </w:rPr>
        <w:t xml:space="preserve">to </w:t>
      </w:r>
      <w:r w:rsidRPr="00FF3EB2">
        <w:rPr>
          <w:sz w:val="20"/>
          <w:szCs w:val="20"/>
          <w:lang w:val="en-GB"/>
        </w:rPr>
        <w:t xml:space="preserve">the induction, where </w:t>
      </w:r>
      <w:r>
        <w:rPr>
          <w:sz w:val="20"/>
          <w:szCs w:val="20"/>
          <w:lang w:val="en-GB"/>
        </w:rPr>
        <w:t>it goes</w:t>
      </w:r>
      <w:r w:rsidRPr="00FF3EB2">
        <w:rPr>
          <w:sz w:val="20"/>
          <w:szCs w:val="20"/>
          <w:lang w:val="en-GB"/>
        </w:rPr>
        <w:t xml:space="preserve"> from the part to the whole (</w:t>
      </w:r>
      <w:r w:rsidRPr="00FF3EB2">
        <w:rPr>
          <w:i/>
          <w:sz w:val="20"/>
          <w:szCs w:val="20"/>
          <w:lang w:val="en-GB"/>
        </w:rPr>
        <w:t>Top</w:t>
      </w:r>
      <w:r w:rsidRPr="00D70BB2">
        <w:rPr>
          <w:sz w:val="20"/>
          <w:szCs w:val="20"/>
          <w:lang w:val="en-GB"/>
        </w:rPr>
        <w:t xml:space="preserve">. 105a13-14). These difference between </w:t>
      </w:r>
      <w:r w:rsidRPr="00D70BB2">
        <w:rPr>
          <w:rFonts w:ascii="GR Times New Roman" w:hAnsi="GR Times New Roman" w:cs="GR Times New Roman"/>
          <w:sz w:val="20"/>
          <w:szCs w:val="20"/>
          <w:lang w:val="el-GR"/>
        </w:rPr>
        <w:t>παράδειγμα</w:t>
      </w:r>
      <w:r w:rsidRPr="00D70BB2">
        <w:rPr>
          <w:sz w:val="20"/>
          <w:szCs w:val="20"/>
          <w:lang w:val="en-GB"/>
        </w:rPr>
        <w:t xml:space="preserve"> and induction or </w:t>
      </w:r>
      <w:r w:rsidRPr="00946E4F">
        <w:rPr>
          <w:rFonts w:ascii="GR Times New Roman" w:hAnsi="GR Times New Roman" w:cs="GR Times New Roman"/>
          <w:sz w:val="20"/>
          <w:szCs w:val="20"/>
        </w:rPr>
        <w:t>ἐπαγωγή</w:t>
      </w:r>
      <w:r w:rsidRPr="00946E4F">
        <w:rPr>
          <w:sz w:val="20"/>
          <w:szCs w:val="20"/>
          <w:lang w:val="en-GB"/>
        </w:rPr>
        <w:t xml:space="preserve"> is made explicit in the </w:t>
      </w:r>
      <w:r w:rsidRPr="0030728A">
        <w:rPr>
          <w:i/>
          <w:sz w:val="20"/>
          <w:szCs w:val="20"/>
          <w:lang w:val="en-GB"/>
        </w:rPr>
        <w:t>Prior Analytics</w:t>
      </w:r>
      <w:r w:rsidRPr="003A54D5">
        <w:rPr>
          <w:sz w:val="20"/>
          <w:szCs w:val="20"/>
          <w:lang w:val="en-GB"/>
        </w:rPr>
        <w:t xml:space="preserve"> by the philosopher himself, who explains, in addition, that induction proves from all the </w:t>
      </w:r>
      <w:r w:rsidRPr="00A21F2C">
        <w:rPr>
          <w:sz w:val="20"/>
          <w:szCs w:val="20"/>
          <w:lang w:val="en-GB"/>
        </w:rPr>
        <w:t xml:space="preserve">concrete </w:t>
      </w:r>
      <w:r w:rsidRPr="00AE758C">
        <w:rPr>
          <w:sz w:val="20"/>
          <w:szCs w:val="20"/>
          <w:lang w:val="en-GB"/>
        </w:rPr>
        <w:t>cases and the example only from some of them (</w:t>
      </w:r>
      <w:r w:rsidRPr="00AE758C">
        <w:rPr>
          <w:i/>
          <w:sz w:val="20"/>
          <w:szCs w:val="20"/>
          <w:lang w:val="en-GB"/>
        </w:rPr>
        <w:t>APr</w:t>
      </w:r>
      <w:r w:rsidRPr="00AE758C">
        <w:rPr>
          <w:sz w:val="20"/>
          <w:szCs w:val="20"/>
          <w:lang w:val="en-GB"/>
        </w:rPr>
        <w:t>. 69a17-19).</w:t>
      </w:r>
    </w:p>
  </w:footnote>
  <w:footnote w:id="35">
    <w:p w:rsidR="00FB1069" w:rsidRPr="00AE758C" w:rsidRDefault="00FB1069">
      <w:pPr>
        <w:pStyle w:val="Textonotapie"/>
        <w:jc w:val="both"/>
        <w:rPr>
          <w:sz w:val="20"/>
          <w:szCs w:val="20"/>
          <w:lang w:val="en-GB"/>
        </w:rPr>
      </w:pPr>
      <w:r w:rsidRPr="00AE758C">
        <w:rPr>
          <w:rStyle w:val="FootnoteCharacters"/>
          <w:sz w:val="20"/>
          <w:szCs w:val="20"/>
        </w:rPr>
        <w:footnoteRef/>
      </w:r>
      <w:r>
        <w:rPr>
          <w:sz w:val="20"/>
          <w:szCs w:val="20"/>
          <w:lang w:val="en-GB"/>
        </w:rPr>
        <w:t xml:space="preserve"> </w:t>
      </w:r>
      <w:r w:rsidRPr="00FF3EB2">
        <w:rPr>
          <w:sz w:val="20"/>
          <w:szCs w:val="20"/>
          <w:lang w:val="en-GB"/>
        </w:rPr>
        <w:t xml:space="preserve">On Apsines’ </w:t>
      </w:r>
      <w:r w:rsidRPr="00D70BB2">
        <w:rPr>
          <w:i/>
          <w:sz w:val="20"/>
          <w:szCs w:val="20"/>
          <w:lang w:val="en-GB"/>
        </w:rPr>
        <w:t>Rhetoric</w:t>
      </w:r>
      <w:r w:rsidRPr="00D70BB2">
        <w:rPr>
          <w:sz w:val="20"/>
          <w:szCs w:val="20"/>
          <w:lang w:val="en-GB"/>
        </w:rPr>
        <w:t xml:space="preserve">, see the editions of </w:t>
      </w:r>
      <w:r>
        <w:rPr>
          <w:sz w:val="20"/>
          <w:szCs w:val="20"/>
          <w:lang w:val="en-GB"/>
        </w:rPr>
        <w:t>Dilts and</w:t>
      </w:r>
      <w:r w:rsidRPr="00786676">
        <w:rPr>
          <w:sz w:val="20"/>
          <w:szCs w:val="20"/>
          <w:lang w:val="en-GB"/>
        </w:rPr>
        <w:t xml:space="preserve"> Kennedy</w:t>
      </w:r>
      <w:r w:rsidRPr="00D70BB2">
        <w:rPr>
          <w:sz w:val="20"/>
          <w:szCs w:val="20"/>
          <w:lang w:val="en-GB"/>
        </w:rPr>
        <w:t xml:space="preserve"> </w:t>
      </w:r>
      <w:r>
        <w:rPr>
          <w:sz w:val="20"/>
          <w:szCs w:val="20"/>
          <w:lang w:val="en-GB"/>
        </w:rPr>
        <w:t>(</w:t>
      </w:r>
      <w:r w:rsidRPr="00D70BB2">
        <w:rPr>
          <w:sz w:val="20"/>
          <w:szCs w:val="20"/>
          <w:lang w:val="en-GB"/>
        </w:rPr>
        <w:t>1997</w:t>
      </w:r>
      <w:r>
        <w:rPr>
          <w:sz w:val="20"/>
          <w:szCs w:val="20"/>
          <w:lang w:val="en-GB"/>
        </w:rPr>
        <w:t>)</w:t>
      </w:r>
      <w:r w:rsidRPr="00D70BB2">
        <w:rPr>
          <w:sz w:val="20"/>
          <w:szCs w:val="20"/>
          <w:lang w:val="en-GB"/>
        </w:rPr>
        <w:t xml:space="preserve"> and of </w:t>
      </w:r>
      <w:r w:rsidRPr="00786676">
        <w:rPr>
          <w:sz w:val="20"/>
          <w:szCs w:val="20"/>
          <w:lang w:val="en-GB"/>
        </w:rPr>
        <w:t>Patillon</w:t>
      </w:r>
      <w:r w:rsidRPr="00D70BB2">
        <w:rPr>
          <w:sz w:val="20"/>
          <w:szCs w:val="20"/>
          <w:lang w:val="en-GB"/>
        </w:rPr>
        <w:t xml:space="preserve"> </w:t>
      </w:r>
      <w:r>
        <w:rPr>
          <w:sz w:val="20"/>
          <w:szCs w:val="20"/>
          <w:lang w:val="en-GB"/>
        </w:rPr>
        <w:t>(</w:t>
      </w:r>
      <w:r w:rsidRPr="00D70BB2">
        <w:rPr>
          <w:sz w:val="20"/>
          <w:szCs w:val="20"/>
          <w:lang w:val="en-GB"/>
        </w:rPr>
        <w:t>2001a</w:t>
      </w:r>
      <w:r>
        <w:rPr>
          <w:sz w:val="20"/>
          <w:szCs w:val="20"/>
          <w:lang w:val="en-GB"/>
        </w:rPr>
        <w:t>)</w:t>
      </w:r>
      <w:r w:rsidRPr="00D70BB2">
        <w:rPr>
          <w:sz w:val="20"/>
          <w:szCs w:val="20"/>
          <w:lang w:val="en-GB"/>
        </w:rPr>
        <w:t>.</w:t>
      </w:r>
    </w:p>
  </w:footnote>
  <w:footnote w:id="36">
    <w:p w:rsidR="00FB1069" w:rsidRPr="00AE758C" w:rsidRDefault="00FB1069">
      <w:pPr>
        <w:pStyle w:val="Textonotapie"/>
        <w:jc w:val="both"/>
        <w:rPr>
          <w:sz w:val="20"/>
          <w:szCs w:val="20"/>
          <w:lang w:val="en-GB"/>
        </w:rPr>
      </w:pPr>
      <w:r w:rsidRPr="00AE758C">
        <w:rPr>
          <w:rStyle w:val="FootnoteCharacters"/>
          <w:sz w:val="20"/>
          <w:szCs w:val="20"/>
        </w:rPr>
        <w:footnoteRef/>
      </w:r>
      <w:r>
        <w:rPr>
          <w:sz w:val="20"/>
          <w:szCs w:val="20"/>
          <w:lang w:val="en-GB"/>
        </w:rPr>
        <w:t xml:space="preserve">  </w:t>
      </w:r>
      <w:r w:rsidRPr="00FF3EB2">
        <w:rPr>
          <w:sz w:val="20"/>
          <w:szCs w:val="20"/>
          <w:lang w:val="en-GB"/>
        </w:rPr>
        <w:t>On the differences of reaso</w:t>
      </w:r>
      <w:r w:rsidRPr="00D70BB2">
        <w:rPr>
          <w:sz w:val="20"/>
          <w:szCs w:val="20"/>
          <w:lang w:val="en-GB"/>
        </w:rPr>
        <w:t xml:space="preserve">ning implied by the example, the parable and the fable, cf. </w:t>
      </w:r>
      <w:r w:rsidRPr="00CA09AB">
        <w:rPr>
          <w:sz w:val="20"/>
          <w:szCs w:val="20"/>
          <w:lang w:val="en-GB"/>
        </w:rPr>
        <w:t>Coenen</w:t>
      </w:r>
      <w:r w:rsidRPr="00D70BB2">
        <w:rPr>
          <w:sz w:val="20"/>
          <w:szCs w:val="20"/>
          <w:lang w:val="en-GB"/>
        </w:rPr>
        <w:t xml:space="preserve"> </w:t>
      </w:r>
      <w:r>
        <w:rPr>
          <w:sz w:val="20"/>
          <w:szCs w:val="20"/>
          <w:lang w:val="en-GB"/>
        </w:rPr>
        <w:t>(</w:t>
      </w:r>
      <w:r w:rsidRPr="00D70BB2">
        <w:rPr>
          <w:sz w:val="20"/>
          <w:szCs w:val="20"/>
          <w:lang w:val="en-GB"/>
        </w:rPr>
        <w:t>1992</w:t>
      </w:r>
      <w:r>
        <w:rPr>
          <w:sz w:val="20"/>
          <w:szCs w:val="20"/>
          <w:lang w:val="en-GB"/>
        </w:rPr>
        <w:t>)</w:t>
      </w:r>
      <w:r w:rsidRPr="00D70BB2">
        <w:rPr>
          <w:sz w:val="20"/>
          <w:szCs w:val="20"/>
          <w:lang w:val="en-GB"/>
        </w:rPr>
        <w:t xml:space="preserve"> 329-335. According to </w:t>
      </w:r>
      <w:r w:rsidRPr="00CA09AB">
        <w:rPr>
          <w:sz w:val="20"/>
          <w:szCs w:val="20"/>
          <w:lang w:val="en-GB"/>
        </w:rPr>
        <w:t>Price</w:t>
      </w:r>
      <w:r w:rsidRPr="00946E4F">
        <w:rPr>
          <w:sz w:val="20"/>
          <w:szCs w:val="20"/>
          <w:lang w:val="en-GB"/>
        </w:rPr>
        <w:t xml:space="preserve"> </w:t>
      </w:r>
      <w:r>
        <w:rPr>
          <w:sz w:val="20"/>
          <w:szCs w:val="20"/>
          <w:lang w:val="en-GB"/>
        </w:rPr>
        <w:t>(</w:t>
      </w:r>
      <w:r w:rsidRPr="00946E4F">
        <w:rPr>
          <w:sz w:val="20"/>
          <w:szCs w:val="20"/>
          <w:lang w:val="en-GB"/>
        </w:rPr>
        <w:t>1975</w:t>
      </w:r>
      <w:r>
        <w:rPr>
          <w:sz w:val="20"/>
          <w:szCs w:val="20"/>
          <w:lang w:val="en-GB"/>
        </w:rPr>
        <w:t>)</w:t>
      </w:r>
      <w:r w:rsidRPr="00946E4F">
        <w:rPr>
          <w:sz w:val="20"/>
          <w:szCs w:val="20"/>
          <w:lang w:val="en-GB"/>
        </w:rPr>
        <w:t xml:space="preserve"> 42, the parable is “an analogy whose </w:t>
      </w:r>
      <w:r w:rsidRPr="0030728A">
        <w:rPr>
          <w:i/>
          <w:sz w:val="20"/>
          <w:szCs w:val="20"/>
          <w:lang w:val="en-GB"/>
        </w:rPr>
        <w:t>illustrantia</w:t>
      </w:r>
      <w:r w:rsidRPr="003A54D5">
        <w:rPr>
          <w:sz w:val="20"/>
          <w:szCs w:val="20"/>
          <w:lang w:val="en-GB"/>
        </w:rPr>
        <w:t xml:space="preserve"> are drawn from the real everyday world” and it differs from </w:t>
      </w:r>
      <w:r w:rsidRPr="003E0CA3">
        <w:rPr>
          <w:sz w:val="20"/>
          <w:szCs w:val="20"/>
          <w:lang w:val="en-GB"/>
        </w:rPr>
        <w:t xml:space="preserve">historical example, firstly, in that it describes the activities of types and not of </w:t>
      </w:r>
      <w:r w:rsidRPr="00AE758C">
        <w:rPr>
          <w:sz w:val="20"/>
          <w:szCs w:val="20"/>
          <w:lang w:val="en-GB"/>
        </w:rPr>
        <w:t>specific people and, secondly, in that it can be hypothetical. The fable, for its part, is totally fictional and is usually located in an unreal world.</w:t>
      </w:r>
    </w:p>
  </w:footnote>
  <w:footnote w:id="37">
    <w:p w:rsidR="00FB1069" w:rsidRPr="00AE758C" w:rsidRDefault="00FB1069">
      <w:pPr>
        <w:pStyle w:val="Textonotapie"/>
        <w:jc w:val="both"/>
        <w:rPr>
          <w:sz w:val="20"/>
          <w:szCs w:val="20"/>
          <w:lang w:val="en-GB"/>
        </w:rPr>
      </w:pPr>
      <w:r w:rsidRPr="00AE758C">
        <w:rPr>
          <w:rStyle w:val="FootnoteCharacters"/>
          <w:sz w:val="20"/>
          <w:szCs w:val="20"/>
        </w:rPr>
        <w:footnoteRef/>
      </w:r>
      <w:r>
        <w:rPr>
          <w:sz w:val="20"/>
          <w:szCs w:val="20"/>
          <w:lang w:val="en-GB"/>
        </w:rPr>
        <w:t xml:space="preserve"> </w:t>
      </w:r>
      <w:r w:rsidRPr="00FF3EB2">
        <w:rPr>
          <w:sz w:val="20"/>
          <w:szCs w:val="20"/>
          <w:lang w:val="en-GB"/>
        </w:rPr>
        <w:t xml:space="preserve">The word </w:t>
      </w:r>
      <w:r w:rsidRPr="00D70BB2">
        <w:rPr>
          <w:i/>
          <w:sz w:val="20"/>
          <w:szCs w:val="20"/>
          <w:lang w:val="en-GB"/>
        </w:rPr>
        <w:t>epicheirema</w:t>
      </w:r>
      <w:r w:rsidRPr="00D70BB2">
        <w:rPr>
          <w:sz w:val="20"/>
          <w:szCs w:val="20"/>
          <w:lang w:val="en-GB"/>
        </w:rPr>
        <w:t xml:space="preserve"> is used by Aristotle to designate a dialectic inference based on probabilities (</w:t>
      </w:r>
      <w:r w:rsidRPr="00946E4F">
        <w:rPr>
          <w:i/>
          <w:sz w:val="20"/>
          <w:szCs w:val="20"/>
          <w:lang w:val="en-GB"/>
        </w:rPr>
        <w:t>T</w:t>
      </w:r>
      <w:r>
        <w:rPr>
          <w:i/>
          <w:sz w:val="20"/>
          <w:szCs w:val="20"/>
          <w:lang w:val="en-GB"/>
        </w:rPr>
        <w:t>o</w:t>
      </w:r>
      <w:r w:rsidRPr="00FF3EB2">
        <w:rPr>
          <w:i/>
          <w:sz w:val="20"/>
          <w:szCs w:val="20"/>
          <w:lang w:val="en-GB"/>
        </w:rPr>
        <w:t>p</w:t>
      </w:r>
      <w:r w:rsidRPr="00AE758C">
        <w:rPr>
          <w:sz w:val="20"/>
          <w:szCs w:val="20"/>
          <w:lang w:val="en-GB"/>
        </w:rPr>
        <w:t>.</w:t>
      </w:r>
      <w:r w:rsidRPr="00FF3EB2">
        <w:rPr>
          <w:sz w:val="20"/>
          <w:szCs w:val="20"/>
          <w:lang w:val="en-GB"/>
        </w:rPr>
        <w:t xml:space="preserve"> 162a16), but in the Late period it is used with regard to a rhetorical proof in </w:t>
      </w:r>
      <w:r w:rsidRPr="00D70BB2">
        <w:rPr>
          <w:sz w:val="20"/>
          <w:szCs w:val="20"/>
          <w:lang w:val="en-GB"/>
        </w:rPr>
        <w:t xml:space="preserve">general, that is, what Aristotle called </w:t>
      </w:r>
      <w:r w:rsidRPr="00D70BB2">
        <w:rPr>
          <w:i/>
          <w:sz w:val="20"/>
          <w:szCs w:val="20"/>
          <w:lang w:val="en-GB"/>
        </w:rPr>
        <w:t>pistis</w:t>
      </w:r>
      <w:r w:rsidRPr="00D70BB2">
        <w:rPr>
          <w:sz w:val="20"/>
          <w:szCs w:val="20"/>
          <w:lang w:val="en-GB"/>
        </w:rPr>
        <w:t xml:space="preserve">. On the concept of </w:t>
      </w:r>
      <w:r w:rsidRPr="00D70BB2">
        <w:rPr>
          <w:i/>
          <w:sz w:val="20"/>
          <w:szCs w:val="20"/>
          <w:lang w:val="en-GB"/>
        </w:rPr>
        <w:t>epicheirema</w:t>
      </w:r>
      <w:r w:rsidRPr="00D70BB2">
        <w:rPr>
          <w:sz w:val="20"/>
          <w:szCs w:val="20"/>
          <w:lang w:val="en-GB"/>
        </w:rPr>
        <w:t xml:space="preserve">, cf. </w:t>
      </w:r>
      <w:r w:rsidRPr="00CA09AB">
        <w:rPr>
          <w:sz w:val="20"/>
          <w:szCs w:val="20"/>
          <w:lang w:val="en-GB"/>
        </w:rPr>
        <w:t>Meador</w:t>
      </w:r>
      <w:r w:rsidRPr="00946E4F">
        <w:rPr>
          <w:sz w:val="20"/>
          <w:szCs w:val="20"/>
          <w:lang w:val="en-GB"/>
        </w:rPr>
        <w:t xml:space="preserve"> </w:t>
      </w:r>
      <w:r>
        <w:rPr>
          <w:sz w:val="20"/>
          <w:szCs w:val="20"/>
          <w:lang w:val="en-GB"/>
        </w:rPr>
        <w:t>(</w:t>
      </w:r>
      <w:r w:rsidRPr="00946E4F">
        <w:rPr>
          <w:sz w:val="20"/>
          <w:szCs w:val="20"/>
          <w:lang w:val="en-GB"/>
        </w:rPr>
        <w:t>1964</w:t>
      </w:r>
      <w:r>
        <w:rPr>
          <w:sz w:val="20"/>
          <w:szCs w:val="20"/>
          <w:lang w:val="en-GB"/>
        </w:rPr>
        <w:t>)</w:t>
      </w:r>
      <w:r w:rsidRPr="00946E4F">
        <w:rPr>
          <w:sz w:val="20"/>
          <w:szCs w:val="20"/>
          <w:lang w:val="en-GB"/>
        </w:rPr>
        <w:t xml:space="preserve"> 54-57.</w:t>
      </w:r>
    </w:p>
  </w:footnote>
  <w:footnote w:id="38">
    <w:p w:rsidR="00FB1069" w:rsidRPr="00AE758C" w:rsidRDefault="00FB1069">
      <w:pPr>
        <w:pStyle w:val="Textonotapie"/>
        <w:jc w:val="both"/>
        <w:rPr>
          <w:sz w:val="20"/>
          <w:szCs w:val="20"/>
          <w:lang w:val="en-GB"/>
        </w:rPr>
      </w:pPr>
      <w:r w:rsidRPr="00AE758C">
        <w:rPr>
          <w:rStyle w:val="FootnoteCharacters"/>
          <w:sz w:val="20"/>
          <w:szCs w:val="20"/>
        </w:rPr>
        <w:footnoteRef/>
      </w:r>
      <w:r>
        <w:rPr>
          <w:sz w:val="20"/>
          <w:szCs w:val="20"/>
          <w:lang w:val="en-GB"/>
        </w:rPr>
        <w:t xml:space="preserve"> </w:t>
      </w:r>
      <w:r w:rsidRPr="00FF3EB2">
        <w:rPr>
          <w:sz w:val="20"/>
          <w:szCs w:val="20"/>
          <w:lang w:val="en-GB"/>
        </w:rPr>
        <w:t>It has been supposed the</w:t>
      </w:r>
      <w:r w:rsidRPr="00D70BB2">
        <w:rPr>
          <w:sz w:val="20"/>
          <w:szCs w:val="20"/>
          <w:lang w:val="en-GB"/>
        </w:rPr>
        <w:t xml:space="preserve">re is a gap before </w:t>
      </w:r>
      <w:r w:rsidRPr="0030728A">
        <w:rPr>
          <w:sz w:val="20"/>
          <w:szCs w:val="20"/>
          <w:lang w:val="en-GB"/>
        </w:rPr>
        <w:t xml:space="preserve">chapter 6, where a definition of the example was </w:t>
      </w:r>
      <w:r>
        <w:rPr>
          <w:sz w:val="20"/>
          <w:szCs w:val="20"/>
          <w:lang w:val="en-GB"/>
        </w:rPr>
        <w:t xml:space="preserve">probably </w:t>
      </w:r>
      <w:r w:rsidRPr="0030728A">
        <w:rPr>
          <w:sz w:val="20"/>
          <w:szCs w:val="20"/>
          <w:lang w:val="en-GB"/>
        </w:rPr>
        <w:t>included.</w:t>
      </w:r>
    </w:p>
  </w:footnote>
  <w:footnote w:id="39">
    <w:p w:rsidR="00FB1069" w:rsidRPr="00AE758C" w:rsidRDefault="00FB1069" w:rsidP="001443D3">
      <w:pPr>
        <w:pStyle w:val="Textonotapie"/>
        <w:jc w:val="both"/>
        <w:rPr>
          <w:sz w:val="20"/>
          <w:szCs w:val="20"/>
          <w:lang w:val="en-GB"/>
        </w:rPr>
      </w:pPr>
      <w:r w:rsidRPr="00AE758C">
        <w:rPr>
          <w:rStyle w:val="FootnoteCharacters"/>
          <w:sz w:val="20"/>
          <w:szCs w:val="20"/>
        </w:rPr>
        <w:footnoteRef/>
      </w:r>
      <w:r>
        <w:rPr>
          <w:sz w:val="20"/>
          <w:szCs w:val="20"/>
          <w:lang w:val="en-GB"/>
        </w:rPr>
        <w:t xml:space="preserve"> </w:t>
      </w:r>
      <w:r w:rsidRPr="00FF3EB2">
        <w:rPr>
          <w:sz w:val="20"/>
          <w:szCs w:val="20"/>
          <w:lang w:val="en-GB"/>
        </w:rPr>
        <w:t xml:space="preserve">I use for Apsines’ </w:t>
      </w:r>
      <w:r w:rsidRPr="00AE758C">
        <w:rPr>
          <w:i/>
          <w:sz w:val="20"/>
          <w:szCs w:val="20"/>
          <w:lang w:val="en-GB"/>
        </w:rPr>
        <w:t>Rhetoric</w:t>
      </w:r>
      <w:r w:rsidRPr="00FF3EB2">
        <w:rPr>
          <w:sz w:val="20"/>
          <w:szCs w:val="20"/>
          <w:lang w:val="en-GB"/>
        </w:rPr>
        <w:t xml:space="preserve"> the edition and translation of </w:t>
      </w:r>
      <w:r>
        <w:rPr>
          <w:sz w:val="20"/>
          <w:szCs w:val="20"/>
          <w:lang w:val="en-GB"/>
        </w:rPr>
        <w:t>Dilts and</w:t>
      </w:r>
      <w:r w:rsidRPr="00CA09AB">
        <w:rPr>
          <w:sz w:val="20"/>
          <w:szCs w:val="20"/>
          <w:lang w:val="en-GB"/>
        </w:rPr>
        <w:t xml:space="preserve"> Kennedy</w:t>
      </w:r>
      <w:r w:rsidRPr="00D70BB2">
        <w:rPr>
          <w:sz w:val="20"/>
          <w:szCs w:val="20"/>
          <w:lang w:val="en-GB"/>
        </w:rPr>
        <w:t xml:space="preserve"> </w:t>
      </w:r>
      <w:r>
        <w:rPr>
          <w:sz w:val="20"/>
          <w:szCs w:val="20"/>
          <w:lang w:val="en-GB"/>
        </w:rPr>
        <w:t>(</w:t>
      </w:r>
      <w:r w:rsidRPr="00D70BB2">
        <w:rPr>
          <w:sz w:val="20"/>
          <w:szCs w:val="20"/>
          <w:lang w:val="en-GB"/>
        </w:rPr>
        <w:t>1997</w:t>
      </w:r>
      <w:r>
        <w:rPr>
          <w:sz w:val="20"/>
          <w:szCs w:val="20"/>
          <w:lang w:val="en-GB"/>
        </w:rPr>
        <w:t>)</w:t>
      </w:r>
      <w:r w:rsidRPr="00D70BB2">
        <w:rPr>
          <w:sz w:val="20"/>
          <w:szCs w:val="20"/>
          <w:lang w:val="en-GB"/>
        </w:rPr>
        <w:t>.</w:t>
      </w:r>
    </w:p>
  </w:footnote>
  <w:footnote w:id="40">
    <w:p w:rsidR="00FB1069" w:rsidRPr="00AE758C" w:rsidRDefault="00FB1069">
      <w:pPr>
        <w:pStyle w:val="Textonotapie"/>
        <w:jc w:val="both"/>
        <w:rPr>
          <w:sz w:val="20"/>
          <w:szCs w:val="20"/>
          <w:lang w:val="en-GB"/>
        </w:rPr>
      </w:pPr>
      <w:r w:rsidRPr="00AE758C">
        <w:rPr>
          <w:rStyle w:val="FootnoteCharacters"/>
          <w:sz w:val="20"/>
          <w:szCs w:val="20"/>
        </w:rPr>
        <w:footnoteRef/>
      </w:r>
      <w:r>
        <w:rPr>
          <w:sz w:val="20"/>
          <w:szCs w:val="20"/>
          <w:lang w:val="en-GB"/>
        </w:rPr>
        <w:t xml:space="preserve"> </w:t>
      </w:r>
      <w:r w:rsidRPr="00FF3EB2">
        <w:rPr>
          <w:sz w:val="20"/>
          <w:szCs w:val="20"/>
          <w:lang w:val="en-GB"/>
        </w:rPr>
        <w:t xml:space="preserve">Cf. </w:t>
      </w:r>
      <w:r w:rsidRPr="00CA09AB">
        <w:rPr>
          <w:sz w:val="20"/>
          <w:szCs w:val="20"/>
          <w:lang w:val="en-GB"/>
        </w:rPr>
        <w:t>Patillon</w:t>
      </w:r>
      <w:r w:rsidRPr="00D70BB2">
        <w:rPr>
          <w:sz w:val="20"/>
          <w:szCs w:val="20"/>
          <w:lang w:val="en-GB"/>
        </w:rPr>
        <w:t xml:space="preserve"> </w:t>
      </w:r>
      <w:r>
        <w:rPr>
          <w:sz w:val="20"/>
          <w:szCs w:val="20"/>
          <w:lang w:val="en-GB"/>
        </w:rPr>
        <w:t>(</w:t>
      </w:r>
      <w:r w:rsidRPr="00D70BB2">
        <w:rPr>
          <w:sz w:val="20"/>
          <w:szCs w:val="20"/>
          <w:lang w:val="en-GB"/>
        </w:rPr>
        <w:t>2001a</w:t>
      </w:r>
      <w:r>
        <w:rPr>
          <w:sz w:val="20"/>
          <w:szCs w:val="20"/>
          <w:lang w:val="en-GB"/>
        </w:rPr>
        <w:t>)</w:t>
      </w:r>
      <w:r w:rsidRPr="00D70BB2">
        <w:rPr>
          <w:sz w:val="20"/>
          <w:szCs w:val="20"/>
          <w:lang w:val="en-GB"/>
        </w:rPr>
        <w:t xml:space="preserve"> lix.</w:t>
      </w:r>
    </w:p>
  </w:footnote>
  <w:footnote w:id="41">
    <w:p w:rsidR="00FB1069" w:rsidRPr="00793F4F" w:rsidRDefault="00FB1069">
      <w:pPr>
        <w:pStyle w:val="Textonotapie"/>
        <w:jc w:val="both"/>
        <w:rPr>
          <w:sz w:val="20"/>
          <w:szCs w:val="20"/>
          <w:lang w:val="en-GB"/>
        </w:rPr>
      </w:pPr>
      <w:r w:rsidRPr="00793F4F">
        <w:rPr>
          <w:rStyle w:val="FootnoteCharacters"/>
          <w:sz w:val="20"/>
          <w:szCs w:val="20"/>
        </w:rPr>
        <w:footnoteRef/>
      </w:r>
      <w:r>
        <w:rPr>
          <w:sz w:val="20"/>
          <w:szCs w:val="20"/>
          <w:lang w:val="en-GB"/>
        </w:rPr>
        <w:t xml:space="preserve"> </w:t>
      </w:r>
      <w:r w:rsidRPr="00FF3EB2">
        <w:rPr>
          <w:sz w:val="20"/>
          <w:szCs w:val="20"/>
          <w:lang w:val="en-GB"/>
        </w:rPr>
        <w:t>A</w:t>
      </w:r>
      <w:r w:rsidRPr="00D70BB2">
        <w:rPr>
          <w:sz w:val="20"/>
          <w:szCs w:val="20"/>
          <w:lang w:val="en-GB"/>
        </w:rPr>
        <w:t xml:space="preserve">ristotle recommends using the </w:t>
      </w:r>
      <w:r w:rsidRPr="00D70BB2">
        <w:rPr>
          <w:i/>
          <w:sz w:val="20"/>
          <w:szCs w:val="20"/>
          <w:lang w:val="en-GB"/>
        </w:rPr>
        <w:t>paradeigma</w:t>
      </w:r>
      <w:r w:rsidRPr="00D70BB2">
        <w:rPr>
          <w:sz w:val="20"/>
          <w:szCs w:val="20"/>
          <w:lang w:val="en-GB"/>
        </w:rPr>
        <w:t xml:space="preserve"> as demo</w:t>
      </w:r>
      <w:r w:rsidRPr="00946E4F">
        <w:rPr>
          <w:sz w:val="20"/>
          <w:szCs w:val="20"/>
          <w:lang w:val="en-GB"/>
        </w:rPr>
        <w:t>nstration in the absence of an enthymeme (</w:t>
      </w:r>
      <w:r w:rsidRPr="0030728A">
        <w:rPr>
          <w:i/>
          <w:sz w:val="20"/>
          <w:szCs w:val="20"/>
          <w:lang w:val="en-GB"/>
        </w:rPr>
        <w:t>Rh</w:t>
      </w:r>
      <w:r w:rsidRPr="0030728A">
        <w:rPr>
          <w:sz w:val="20"/>
          <w:szCs w:val="20"/>
          <w:lang w:val="en-GB"/>
        </w:rPr>
        <w:t>. 2.20, 1394a9-10), but he recommends using it as a testimony when there are enthymemes, and to do it as their epilogue (</w:t>
      </w:r>
      <w:r w:rsidRPr="0030728A">
        <w:rPr>
          <w:i/>
          <w:sz w:val="20"/>
          <w:szCs w:val="20"/>
          <w:lang w:val="en-GB"/>
        </w:rPr>
        <w:t>Rh</w:t>
      </w:r>
      <w:r w:rsidRPr="0030728A">
        <w:rPr>
          <w:sz w:val="20"/>
          <w:szCs w:val="20"/>
          <w:lang w:val="en-GB"/>
        </w:rPr>
        <w:t>. 2.20, 1394a13-16).</w:t>
      </w:r>
    </w:p>
  </w:footnote>
  <w:footnote w:id="42">
    <w:p w:rsidR="00FB1069" w:rsidRPr="00793F4F" w:rsidRDefault="00FB1069">
      <w:pPr>
        <w:pStyle w:val="Textonotapie"/>
        <w:jc w:val="both"/>
        <w:rPr>
          <w:sz w:val="20"/>
          <w:szCs w:val="20"/>
          <w:lang w:val="en-GB"/>
        </w:rPr>
      </w:pPr>
      <w:r w:rsidRPr="00793F4F">
        <w:rPr>
          <w:rStyle w:val="FootnoteCharacters"/>
          <w:sz w:val="20"/>
          <w:szCs w:val="20"/>
        </w:rPr>
        <w:footnoteRef/>
      </w:r>
      <w:r>
        <w:rPr>
          <w:sz w:val="20"/>
          <w:szCs w:val="20"/>
          <w:lang w:val="en-GB"/>
        </w:rPr>
        <w:t xml:space="preserve"> </w:t>
      </w:r>
      <w:r w:rsidRPr="00FF3EB2">
        <w:rPr>
          <w:sz w:val="20"/>
          <w:szCs w:val="20"/>
          <w:lang w:val="en-GB"/>
        </w:rPr>
        <w:t>On</w:t>
      </w:r>
      <w:r w:rsidRPr="00D70BB2">
        <w:rPr>
          <w:sz w:val="20"/>
          <w:szCs w:val="20"/>
          <w:lang w:val="en-GB"/>
        </w:rPr>
        <w:t xml:space="preserve"> Rufus’ </w:t>
      </w:r>
      <w:r w:rsidRPr="00D70BB2">
        <w:rPr>
          <w:i/>
          <w:sz w:val="20"/>
          <w:szCs w:val="20"/>
          <w:lang w:val="en-GB"/>
        </w:rPr>
        <w:t>Rhetoric</w:t>
      </w:r>
      <w:r w:rsidRPr="00D70BB2">
        <w:rPr>
          <w:sz w:val="20"/>
          <w:szCs w:val="20"/>
          <w:lang w:val="en-GB"/>
        </w:rPr>
        <w:t xml:space="preserve">, see the edition of </w:t>
      </w:r>
      <w:r w:rsidRPr="009E3788">
        <w:rPr>
          <w:sz w:val="20"/>
          <w:szCs w:val="20"/>
          <w:lang w:val="en-GB"/>
        </w:rPr>
        <w:t>Patillon</w:t>
      </w:r>
      <w:r w:rsidRPr="00D70BB2">
        <w:rPr>
          <w:sz w:val="20"/>
          <w:szCs w:val="20"/>
          <w:lang w:val="en-GB"/>
        </w:rPr>
        <w:t xml:space="preserve"> </w:t>
      </w:r>
      <w:r>
        <w:rPr>
          <w:sz w:val="20"/>
          <w:szCs w:val="20"/>
          <w:lang w:val="en-GB"/>
        </w:rPr>
        <w:t>(</w:t>
      </w:r>
      <w:r w:rsidRPr="00D70BB2">
        <w:rPr>
          <w:sz w:val="20"/>
          <w:szCs w:val="20"/>
          <w:lang w:val="en-GB"/>
        </w:rPr>
        <w:t>2001b</w:t>
      </w:r>
      <w:r>
        <w:rPr>
          <w:sz w:val="20"/>
          <w:szCs w:val="20"/>
          <w:lang w:val="en-GB"/>
        </w:rPr>
        <w:t>)</w:t>
      </w:r>
      <w:r w:rsidRPr="00D70BB2">
        <w:rPr>
          <w:sz w:val="20"/>
          <w:szCs w:val="20"/>
          <w:lang w:val="en-GB"/>
        </w:rPr>
        <w:t>.</w:t>
      </w:r>
    </w:p>
  </w:footnote>
  <w:footnote w:id="43">
    <w:p w:rsidR="00FB1069" w:rsidRPr="00793F4F" w:rsidRDefault="00FB1069">
      <w:pPr>
        <w:pStyle w:val="Textonotapie"/>
        <w:jc w:val="both"/>
        <w:rPr>
          <w:sz w:val="20"/>
          <w:szCs w:val="20"/>
          <w:lang w:val="en-GB"/>
        </w:rPr>
      </w:pPr>
      <w:r w:rsidRPr="00793F4F">
        <w:rPr>
          <w:rStyle w:val="FootnoteCharacters"/>
          <w:sz w:val="20"/>
          <w:szCs w:val="20"/>
        </w:rPr>
        <w:footnoteRef/>
      </w:r>
      <w:r>
        <w:rPr>
          <w:sz w:val="20"/>
          <w:szCs w:val="20"/>
          <w:lang w:val="en-GB"/>
        </w:rPr>
        <w:t xml:space="preserve"> </w:t>
      </w:r>
      <w:r w:rsidRPr="00FF3EB2">
        <w:rPr>
          <w:sz w:val="20"/>
          <w:szCs w:val="20"/>
          <w:lang w:val="en-GB"/>
        </w:rPr>
        <w:t xml:space="preserve">I use for Minucianus the edition of </w:t>
      </w:r>
      <w:r w:rsidRPr="009E3788">
        <w:rPr>
          <w:sz w:val="20"/>
          <w:szCs w:val="20"/>
          <w:lang w:val="en-GB"/>
        </w:rPr>
        <w:t>Spengel</w:t>
      </w:r>
      <w:r w:rsidRPr="00D70BB2">
        <w:rPr>
          <w:sz w:val="20"/>
          <w:szCs w:val="20"/>
          <w:lang w:val="en-GB"/>
        </w:rPr>
        <w:t xml:space="preserve"> </w:t>
      </w:r>
      <w:r>
        <w:rPr>
          <w:sz w:val="20"/>
          <w:szCs w:val="20"/>
          <w:lang w:val="en-GB"/>
        </w:rPr>
        <w:t>(</w:t>
      </w:r>
      <w:r w:rsidRPr="00D70BB2">
        <w:rPr>
          <w:sz w:val="20"/>
          <w:szCs w:val="20"/>
          <w:lang w:val="en-GB"/>
        </w:rPr>
        <w:t>1853</w:t>
      </w:r>
      <w:r>
        <w:rPr>
          <w:sz w:val="20"/>
          <w:szCs w:val="20"/>
          <w:lang w:val="en-GB"/>
        </w:rPr>
        <w:t>)</w:t>
      </w:r>
      <w:r w:rsidRPr="00D70BB2">
        <w:rPr>
          <w:sz w:val="20"/>
          <w:szCs w:val="20"/>
          <w:lang w:val="en-GB"/>
        </w:rPr>
        <w:t xml:space="preserve"> and the translation of </w:t>
      </w:r>
      <w:r w:rsidRPr="009E3788">
        <w:rPr>
          <w:sz w:val="20"/>
          <w:szCs w:val="20"/>
          <w:lang w:val="en-GB"/>
        </w:rPr>
        <w:t>Meador</w:t>
      </w:r>
      <w:r w:rsidRPr="00D70BB2">
        <w:rPr>
          <w:sz w:val="20"/>
          <w:szCs w:val="20"/>
          <w:lang w:val="en-GB"/>
        </w:rPr>
        <w:t xml:space="preserve"> </w:t>
      </w:r>
      <w:r>
        <w:rPr>
          <w:sz w:val="20"/>
          <w:szCs w:val="20"/>
          <w:lang w:val="en-GB"/>
        </w:rPr>
        <w:t>(</w:t>
      </w:r>
      <w:r w:rsidRPr="00D70BB2">
        <w:rPr>
          <w:sz w:val="20"/>
          <w:szCs w:val="20"/>
          <w:lang w:val="en-GB"/>
        </w:rPr>
        <w:t>1964</w:t>
      </w:r>
      <w:r>
        <w:rPr>
          <w:sz w:val="20"/>
          <w:szCs w:val="20"/>
          <w:lang w:val="en-GB"/>
        </w:rPr>
        <w:t>)</w:t>
      </w:r>
      <w:r w:rsidRPr="00D70BB2">
        <w:rPr>
          <w:sz w:val="20"/>
          <w:szCs w:val="20"/>
          <w:lang w:val="en-GB"/>
        </w:rPr>
        <w:t>.</w:t>
      </w:r>
    </w:p>
  </w:footnote>
  <w:footnote w:id="44">
    <w:p w:rsidR="00FB1069" w:rsidRPr="00793F4F" w:rsidRDefault="00FB1069">
      <w:pPr>
        <w:pStyle w:val="Textonotapie"/>
        <w:jc w:val="both"/>
        <w:rPr>
          <w:sz w:val="20"/>
          <w:szCs w:val="20"/>
          <w:lang w:val="en-GB"/>
        </w:rPr>
      </w:pPr>
      <w:r w:rsidRPr="00793F4F">
        <w:rPr>
          <w:rStyle w:val="FootnoteCharacters"/>
          <w:rFonts w:ascii="GR Times New Roman" w:hAnsi="GR Times New Roman"/>
          <w:sz w:val="20"/>
          <w:szCs w:val="20"/>
        </w:rPr>
        <w:footnoteRef/>
      </w:r>
      <w:r>
        <w:rPr>
          <w:sz w:val="20"/>
          <w:szCs w:val="20"/>
          <w:lang w:val="en-GB"/>
        </w:rPr>
        <w:t xml:space="preserve"> </w:t>
      </w:r>
      <w:r w:rsidRPr="00FF3EB2">
        <w:rPr>
          <w:sz w:val="20"/>
          <w:szCs w:val="20"/>
          <w:lang w:val="en-GB"/>
        </w:rPr>
        <w:t xml:space="preserve">In order to designate the comparison </w:t>
      </w:r>
      <w:r w:rsidRPr="00D70BB2">
        <w:rPr>
          <w:sz w:val="20"/>
          <w:szCs w:val="20"/>
          <w:lang w:val="en-GB"/>
        </w:rPr>
        <w:t xml:space="preserve">in Greek there are essentially four words, namely </w:t>
      </w:r>
      <w:r w:rsidRPr="00D70BB2">
        <w:rPr>
          <w:rFonts w:ascii="GR Times New Roman" w:hAnsi="GR Times New Roman" w:cs="GR Times New Roman"/>
          <w:sz w:val="20"/>
          <w:szCs w:val="20"/>
          <w:lang w:val="el-GR"/>
        </w:rPr>
        <w:t>εἰκών</w:t>
      </w:r>
      <w:r w:rsidRPr="00946E4F">
        <w:rPr>
          <w:rFonts w:ascii="GR Times New Roman" w:hAnsi="GR Times New Roman" w:cs="GR Times New Roman"/>
          <w:sz w:val="20"/>
          <w:szCs w:val="20"/>
          <w:lang w:val="en-GB"/>
        </w:rPr>
        <w:t xml:space="preserve">, </w:t>
      </w:r>
      <w:r w:rsidRPr="00946E4F">
        <w:rPr>
          <w:sz w:val="20"/>
          <w:szCs w:val="20"/>
          <w:lang w:val="el-GR"/>
        </w:rPr>
        <w:t>π</w:t>
      </w:r>
      <w:r w:rsidRPr="0030728A">
        <w:rPr>
          <w:rFonts w:ascii="GR Times New Roman" w:hAnsi="GR Times New Roman" w:cs="GR Times New Roman"/>
          <w:sz w:val="20"/>
          <w:szCs w:val="20"/>
          <w:lang w:val="el-GR"/>
        </w:rPr>
        <w:t>αρ</w:t>
      </w:r>
      <w:r w:rsidRPr="003A54D5">
        <w:rPr>
          <w:rFonts w:ascii="GR Times New Roman" w:hAnsi="GR Times New Roman" w:cs="GR Times New Roman"/>
          <w:sz w:val="20"/>
          <w:szCs w:val="20"/>
          <w:lang w:val="el-GR"/>
        </w:rPr>
        <w:t>αβολή</w:t>
      </w:r>
      <w:r w:rsidRPr="003A54D5">
        <w:rPr>
          <w:rFonts w:ascii="GR Times New Roman" w:hAnsi="GR Times New Roman" w:cs="GR Times New Roman"/>
          <w:sz w:val="20"/>
          <w:szCs w:val="20"/>
          <w:lang w:val="en-GB"/>
        </w:rPr>
        <w:t xml:space="preserve">, </w:t>
      </w:r>
      <w:r w:rsidRPr="003A54D5">
        <w:rPr>
          <w:rFonts w:ascii="GR Times New Roman" w:hAnsi="GR Times New Roman" w:cs="GR Times New Roman"/>
          <w:sz w:val="20"/>
          <w:szCs w:val="20"/>
          <w:lang w:val="el-GR"/>
        </w:rPr>
        <w:t>εἰκασία</w:t>
      </w:r>
      <w:r w:rsidRPr="00A21F2C">
        <w:rPr>
          <w:rFonts w:ascii="GR Times New Roman" w:hAnsi="GR Times New Roman" w:cs="GR Times New Roman"/>
          <w:sz w:val="20"/>
          <w:szCs w:val="20"/>
          <w:lang w:val="en-GB"/>
        </w:rPr>
        <w:t xml:space="preserve"> and </w:t>
      </w:r>
      <w:r w:rsidRPr="003C7826">
        <w:rPr>
          <w:rFonts w:ascii="GR Times New Roman" w:hAnsi="GR Times New Roman" w:cs="GR Times New Roman"/>
          <w:sz w:val="20"/>
          <w:szCs w:val="20"/>
        </w:rPr>
        <w:t>ὁμοίωσις</w:t>
      </w:r>
      <w:r w:rsidRPr="003E0CA3">
        <w:rPr>
          <w:sz w:val="20"/>
          <w:szCs w:val="20"/>
          <w:lang w:val="en-GB"/>
        </w:rPr>
        <w:t>;</w:t>
      </w:r>
      <w:r w:rsidRPr="00793F4F">
        <w:rPr>
          <w:sz w:val="20"/>
          <w:szCs w:val="20"/>
          <w:lang w:val="en-GB"/>
        </w:rPr>
        <w:t xml:space="preserve"> </w:t>
      </w:r>
      <w:r w:rsidRPr="00FF3EB2">
        <w:rPr>
          <w:sz w:val="20"/>
          <w:szCs w:val="20"/>
          <w:lang w:val="en-GB"/>
        </w:rPr>
        <w:t xml:space="preserve">cf. </w:t>
      </w:r>
      <w:r w:rsidRPr="004F4244">
        <w:rPr>
          <w:sz w:val="20"/>
          <w:szCs w:val="20"/>
          <w:lang w:val="en-GB"/>
        </w:rPr>
        <w:t>McCall</w:t>
      </w:r>
      <w:r w:rsidRPr="00D70BB2">
        <w:rPr>
          <w:sz w:val="20"/>
          <w:szCs w:val="20"/>
          <w:lang w:val="en-GB"/>
        </w:rPr>
        <w:t xml:space="preserve"> </w:t>
      </w:r>
      <w:r>
        <w:rPr>
          <w:sz w:val="20"/>
          <w:szCs w:val="20"/>
          <w:lang w:val="en-GB"/>
        </w:rPr>
        <w:t>(</w:t>
      </w:r>
      <w:r w:rsidRPr="00D70BB2">
        <w:rPr>
          <w:sz w:val="20"/>
          <w:szCs w:val="20"/>
          <w:lang w:val="en-GB"/>
        </w:rPr>
        <w:t>1969</w:t>
      </w:r>
      <w:r>
        <w:rPr>
          <w:sz w:val="20"/>
          <w:szCs w:val="20"/>
          <w:lang w:val="en-GB"/>
        </w:rPr>
        <w:t>)</w:t>
      </w:r>
      <w:r w:rsidRPr="00D70BB2">
        <w:rPr>
          <w:sz w:val="20"/>
          <w:szCs w:val="20"/>
          <w:lang w:val="en-GB"/>
        </w:rPr>
        <w:t xml:space="preserve"> ix. Among these words </w:t>
      </w:r>
      <w:r w:rsidRPr="00D70BB2">
        <w:rPr>
          <w:rFonts w:ascii="GR Times New Roman" w:hAnsi="GR Times New Roman" w:cs="GR Times New Roman"/>
          <w:sz w:val="20"/>
          <w:szCs w:val="20"/>
          <w:lang w:val="el-GR"/>
        </w:rPr>
        <w:t>εἰκών</w:t>
      </w:r>
      <w:r w:rsidRPr="00D70BB2">
        <w:rPr>
          <w:sz w:val="20"/>
          <w:szCs w:val="20"/>
          <w:lang w:val="en-GB"/>
        </w:rPr>
        <w:t xml:space="preserve"> is the main one and the most early attested. In Plato </w:t>
      </w:r>
      <w:r w:rsidRPr="00D70BB2">
        <w:rPr>
          <w:sz w:val="20"/>
          <w:szCs w:val="20"/>
          <w:lang w:val="el-GR"/>
        </w:rPr>
        <w:t>π</w:t>
      </w:r>
      <w:r w:rsidRPr="00D70BB2">
        <w:rPr>
          <w:rFonts w:ascii="GR Times New Roman" w:hAnsi="GR Times New Roman" w:cs="GR Times New Roman"/>
          <w:sz w:val="20"/>
          <w:szCs w:val="20"/>
          <w:lang w:val="el-GR"/>
        </w:rPr>
        <w:t>αραβολή</w:t>
      </w:r>
      <w:r w:rsidRPr="00D70BB2">
        <w:rPr>
          <w:rFonts w:ascii="GR Times New Roman" w:hAnsi="GR Times New Roman" w:cs="GR Times New Roman"/>
          <w:sz w:val="20"/>
          <w:szCs w:val="20"/>
          <w:lang w:val="en-GB"/>
        </w:rPr>
        <w:t xml:space="preserve"> </w:t>
      </w:r>
      <w:r w:rsidRPr="00946E4F">
        <w:rPr>
          <w:sz w:val="20"/>
          <w:szCs w:val="20"/>
          <w:lang w:val="en-GB"/>
        </w:rPr>
        <w:t>and</w:t>
      </w:r>
      <w:r w:rsidRPr="00946E4F">
        <w:rPr>
          <w:rFonts w:ascii="GR Times New Roman" w:hAnsi="GR Times New Roman" w:cs="GR Times New Roman"/>
          <w:sz w:val="20"/>
          <w:szCs w:val="20"/>
          <w:lang w:val="en-GB"/>
        </w:rPr>
        <w:t xml:space="preserve"> </w:t>
      </w:r>
      <w:r w:rsidRPr="0030728A">
        <w:rPr>
          <w:rFonts w:ascii="GR Times New Roman" w:hAnsi="GR Times New Roman" w:cs="GR Times New Roman"/>
          <w:sz w:val="20"/>
          <w:szCs w:val="20"/>
        </w:rPr>
        <w:t>ὁμοίωσις</w:t>
      </w:r>
      <w:r w:rsidRPr="003A54D5">
        <w:rPr>
          <w:rFonts w:ascii="GR Times New Roman" w:hAnsi="GR Times New Roman" w:cs="GR Times New Roman"/>
          <w:sz w:val="20"/>
          <w:szCs w:val="20"/>
          <w:lang w:val="en-GB"/>
        </w:rPr>
        <w:t xml:space="preserve"> </w:t>
      </w:r>
      <w:r w:rsidRPr="003A54D5">
        <w:rPr>
          <w:sz w:val="20"/>
          <w:szCs w:val="20"/>
          <w:lang w:val="en-GB"/>
        </w:rPr>
        <w:t xml:space="preserve">start </w:t>
      </w:r>
      <w:r w:rsidRPr="003C7826">
        <w:rPr>
          <w:sz w:val="20"/>
          <w:szCs w:val="20"/>
          <w:lang w:val="en-GB"/>
        </w:rPr>
        <w:t xml:space="preserve">being used; and in Aristotle the used words to designate the comparison are </w:t>
      </w:r>
      <w:r w:rsidRPr="003E0CA3">
        <w:rPr>
          <w:rFonts w:ascii="GR Times New Roman" w:hAnsi="GR Times New Roman" w:cs="GR Times New Roman"/>
          <w:sz w:val="20"/>
          <w:szCs w:val="20"/>
          <w:lang w:val="el-GR"/>
        </w:rPr>
        <w:t>εἰκών</w:t>
      </w:r>
      <w:r w:rsidRPr="00793F4F">
        <w:rPr>
          <w:rFonts w:ascii="GR Times New Roman" w:hAnsi="GR Times New Roman" w:cs="GR Times New Roman"/>
          <w:sz w:val="20"/>
          <w:szCs w:val="20"/>
          <w:lang w:val="en-GB"/>
        </w:rPr>
        <w:t xml:space="preserve"> and </w:t>
      </w:r>
      <w:r w:rsidRPr="00793F4F">
        <w:rPr>
          <w:sz w:val="20"/>
          <w:szCs w:val="20"/>
          <w:lang w:val="el-GR"/>
        </w:rPr>
        <w:t>π</w:t>
      </w:r>
      <w:r w:rsidRPr="00793F4F">
        <w:rPr>
          <w:rFonts w:ascii="GR Times New Roman" w:hAnsi="GR Times New Roman" w:cs="GR Times New Roman"/>
          <w:sz w:val="20"/>
          <w:szCs w:val="20"/>
          <w:lang w:val="el-GR"/>
        </w:rPr>
        <w:t>αραβολή</w:t>
      </w:r>
      <w:r w:rsidRPr="00793F4F">
        <w:rPr>
          <w:rFonts w:ascii="GR Times New Roman" w:hAnsi="GR Times New Roman" w:cs="GR Times New Roman"/>
          <w:sz w:val="20"/>
          <w:szCs w:val="20"/>
          <w:lang w:val="en-GB"/>
        </w:rPr>
        <w:t xml:space="preserve">, </w:t>
      </w:r>
      <w:r w:rsidRPr="00793F4F">
        <w:rPr>
          <w:sz w:val="20"/>
          <w:szCs w:val="20"/>
          <w:lang w:val="en-GB"/>
        </w:rPr>
        <w:t xml:space="preserve">cf. </w:t>
      </w:r>
      <w:r w:rsidRPr="004F4244">
        <w:rPr>
          <w:sz w:val="20"/>
          <w:szCs w:val="20"/>
          <w:lang w:val="en-GB"/>
        </w:rPr>
        <w:t>McCall</w:t>
      </w:r>
      <w:r w:rsidRPr="00793F4F">
        <w:rPr>
          <w:sz w:val="20"/>
          <w:szCs w:val="20"/>
          <w:lang w:val="en-GB"/>
        </w:rPr>
        <w:t xml:space="preserve"> </w:t>
      </w:r>
      <w:r>
        <w:rPr>
          <w:sz w:val="20"/>
          <w:szCs w:val="20"/>
          <w:lang w:val="en-GB"/>
        </w:rPr>
        <w:t>(</w:t>
      </w:r>
      <w:r w:rsidRPr="00793F4F">
        <w:rPr>
          <w:sz w:val="20"/>
          <w:szCs w:val="20"/>
          <w:lang w:val="en-GB"/>
        </w:rPr>
        <w:t>1969</w:t>
      </w:r>
      <w:r>
        <w:rPr>
          <w:sz w:val="20"/>
          <w:szCs w:val="20"/>
          <w:lang w:val="en-GB"/>
        </w:rPr>
        <w:t>)</w:t>
      </w:r>
      <w:r w:rsidRPr="00793F4F">
        <w:rPr>
          <w:sz w:val="20"/>
          <w:szCs w:val="20"/>
          <w:lang w:val="en-GB"/>
        </w:rPr>
        <w:t xml:space="preserve"> 1-24. On the relation between the </w:t>
      </w:r>
      <w:r w:rsidRPr="00793F4F">
        <w:rPr>
          <w:i/>
          <w:sz w:val="20"/>
          <w:szCs w:val="20"/>
          <w:lang w:val="en-GB"/>
        </w:rPr>
        <w:t>paradeigma</w:t>
      </w:r>
      <w:r w:rsidRPr="00793F4F">
        <w:rPr>
          <w:sz w:val="20"/>
          <w:szCs w:val="20"/>
          <w:lang w:val="en-GB"/>
        </w:rPr>
        <w:t xml:space="preserve"> and the idea of similarity in Aristotle’s </w:t>
      </w:r>
      <w:r w:rsidRPr="00793F4F">
        <w:rPr>
          <w:i/>
          <w:sz w:val="20"/>
          <w:szCs w:val="20"/>
          <w:lang w:val="en-GB"/>
        </w:rPr>
        <w:t>Rhetoric</w:t>
      </w:r>
      <w:r w:rsidRPr="00793F4F">
        <w:rPr>
          <w:sz w:val="20"/>
          <w:szCs w:val="20"/>
          <w:lang w:val="en-GB"/>
        </w:rPr>
        <w:t xml:space="preserve">, cf. </w:t>
      </w:r>
      <w:r w:rsidRPr="004F4244">
        <w:rPr>
          <w:sz w:val="20"/>
          <w:szCs w:val="20"/>
          <w:lang w:val="en-GB"/>
        </w:rPr>
        <w:t>Encinas Reguero</w:t>
      </w:r>
      <w:r w:rsidRPr="00793F4F">
        <w:rPr>
          <w:sz w:val="20"/>
          <w:szCs w:val="20"/>
          <w:lang w:val="en-GB"/>
        </w:rPr>
        <w:t xml:space="preserve"> </w:t>
      </w:r>
      <w:r>
        <w:rPr>
          <w:sz w:val="20"/>
          <w:szCs w:val="20"/>
          <w:lang w:val="en-GB"/>
        </w:rPr>
        <w:t>(</w:t>
      </w:r>
      <w:r w:rsidRPr="00793F4F">
        <w:rPr>
          <w:sz w:val="20"/>
          <w:szCs w:val="20"/>
          <w:lang w:val="en-GB"/>
        </w:rPr>
        <w:t>2017b</w:t>
      </w:r>
      <w:r>
        <w:rPr>
          <w:sz w:val="20"/>
          <w:szCs w:val="20"/>
          <w:lang w:val="en-GB"/>
        </w:rPr>
        <w:t>)</w:t>
      </w:r>
      <w:r w:rsidRPr="00793F4F">
        <w:rPr>
          <w:sz w:val="20"/>
          <w:szCs w:val="20"/>
          <w:lang w:val="en-GB"/>
        </w:rPr>
        <w:t>.</w:t>
      </w:r>
    </w:p>
  </w:footnote>
  <w:footnote w:id="45">
    <w:p w:rsidR="00FB1069" w:rsidRPr="00793F4F" w:rsidRDefault="00FB1069">
      <w:pPr>
        <w:pStyle w:val="Textonotapie"/>
        <w:jc w:val="both"/>
        <w:rPr>
          <w:sz w:val="20"/>
          <w:szCs w:val="20"/>
          <w:lang w:val="en-GB"/>
        </w:rPr>
      </w:pPr>
      <w:r w:rsidRPr="00793F4F">
        <w:rPr>
          <w:rStyle w:val="FootnoteCharacters"/>
          <w:sz w:val="20"/>
          <w:szCs w:val="20"/>
        </w:rPr>
        <w:footnoteRef/>
      </w:r>
      <w:r>
        <w:rPr>
          <w:sz w:val="20"/>
          <w:szCs w:val="20"/>
          <w:lang w:val="en-GB"/>
        </w:rPr>
        <w:t xml:space="preserve"> </w:t>
      </w:r>
      <w:r w:rsidRPr="00FF3EB2">
        <w:rPr>
          <w:sz w:val="20"/>
          <w:szCs w:val="20"/>
          <w:lang w:val="en-GB"/>
        </w:rPr>
        <w:t>Similarly to Minucianus, but in a treatise of a different type (</w:t>
      </w:r>
      <w:r w:rsidRPr="00D70BB2">
        <w:rPr>
          <w:i/>
          <w:sz w:val="20"/>
          <w:szCs w:val="20"/>
          <w:lang w:val="en-GB"/>
        </w:rPr>
        <w:t>On Figures</w:t>
      </w:r>
      <w:r w:rsidRPr="00D70BB2">
        <w:rPr>
          <w:sz w:val="20"/>
          <w:szCs w:val="20"/>
          <w:lang w:val="en-GB"/>
        </w:rPr>
        <w:t xml:space="preserve"> or </w:t>
      </w:r>
      <w:r w:rsidRPr="00D70BB2">
        <w:rPr>
          <w:rFonts w:ascii="GR Times New Roman" w:hAnsi="GR Times New Roman" w:cs="GR Times New Roman"/>
          <w:sz w:val="20"/>
          <w:szCs w:val="20"/>
          <w:lang w:val="el-GR"/>
        </w:rPr>
        <w:t>Περὶ</w:t>
      </w:r>
      <w:r w:rsidRPr="00D70BB2">
        <w:rPr>
          <w:rFonts w:ascii="GR Times New Roman" w:hAnsi="GR Times New Roman" w:cs="GR Times New Roman"/>
          <w:sz w:val="20"/>
          <w:szCs w:val="20"/>
          <w:lang w:val="en-GB"/>
        </w:rPr>
        <w:t xml:space="preserve"> </w:t>
      </w:r>
      <w:r w:rsidRPr="00D70BB2">
        <w:rPr>
          <w:rFonts w:ascii="GR Times New Roman" w:hAnsi="GR Times New Roman" w:cs="GR Times New Roman"/>
          <w:sz w:val="20"/>
          <w:szCs w:val="20"/>
          <w:lang w:val="el-GR"/>
        </w:rPr>
        <w:t>τρόπων</w:t>
      </w:r>
      <w:r w:rsidRPr="00D70BB2">
        <w:rPr>
          <w:sz w:val="20"/>
          <w:szCs w:val="20"/>
          <w:lang w:val="en-GB"/>
        </w:rPr>
        <w:t>), Trypho includes i</w:t>
      </w:r>
      <w:r w:rsidRPr="00946E4F">
        <w:rPr>
          <w:sz w:val="20"/>
          <w:szCs w:val="20"/>
          <w:lang w:val="en-GB"/>
        </w:rPr>
        <w:t xml:space="preserve">nto the concept of similarity or </w:t>
      </w:r>
      <w:r w:rsidRPr="00946E4F">
        <w:rPr>
          <w:rFonts w:ascii="GR Times New Roman" w:hAnsi="GR Times New Roman" w:cs="GR Times New Roman"/>
          <w:sz w:val="20"/>
          <w:szCs w:val="20"/>
        </w:rPr>
        <w:t>ὁμοίωσις</w:t>
      </w:r>
      <w:r w:rsidRPr="0030728A">
        <w:rPr>
          <w:sz w:val="20"/>
          <w:szCs w:val="20"/>
          <w:lang w:val="en-GB"/>
        </w:rPr>
        <w:t xml:space="preserve"> three figures: </w:t>
      </w:r>
      <w:r w:rsidRPr="003A54D5">
        <w:rPr>
          <w:rFonts w:ascii="GR Times New Roman" w:hAnsi="GR Times New Roman" w:cs="GR Times New Roman"/>
          <w:sz w:val="20"/>
          <w:szCs w:val="20"/>
          <w:lang w:val="el-GR"/>
        </w:rPr>
        <w:t>εἰκών</w:t>
      </w:r>
      <w:r w:rsidRPr="003A54D5">
        <w:rPr>
          <w:sz w:val="20"/>
          <w:szCs w:val="20"/>
          <w:lang w:val="en-GB"/>
        </w:rPr>
        <w:t xml:space="preserve">, </w:t>
      </w:r>
      <w:r w:rsidRPr="003A54D5">
        <w:rPr>
          <w:rFonts w:ascii="GR Times New Roman" w:hAnsi="GR Times New Roman" w:cs="GR Times New Roman"/>
          <w:sz w:val="20"/>
          <w:szCs w:val="20"/>
          <w:lang w:val="el-GR"/>
        </w:rPr>
        <w:t>παράδειγμα</w:t>
      </w:r>
      <w:r w:rsidRPr="003A54D5">
        <w:rPr>
          <w:sz w:val="20"/>
          <w:szCs w:val="20"/>
          <w:lang w:val="en-GB"/>
        </w:rPr>
        <w:t xml:space="preserve"> and </w:t>
      </w:r>
      <w:r w:rsidRPr="003A54D5">
        <w:rPr>
          <w:rFonts w:ascii="GR Times New Roman" w:hAnsi="GR Times New Roman" w:cs="GR Times New Roman"/>
          <w:sz w:val="20"/>
          <w:szCs w:val="20"/>
          <w:lang w:val="el-GR"/>
        </w:rPr>
        <w:t>παραβολή</w:t>
      </w:r>
      <w:r w:rsidRPr="003A54D5">
        <w:rPr>
          <w:rFonts w:ascii="GR Times New Roman" w:hAnsi="GR Times New Roman" w:cs="GR Times New Roman"/>
          <w:sz w:val="20"/>
          <w:szCs w:val="20"/>
          <w:lang w:val="en-GB"/>
        </w:rPr>
        <w:t xml:space="preserve"> </w:t>
      </w:r>
      <w:r w:rsidRPr="003A54D5">
        <w:rPr>
          <w:sz w:val="20"/>
          <w:szCs w:val="20"/>
          <w:lang w:val="en-GB"/>
        </w:rPr>
        <w:t>(</w:t>
      </w:r>
      <w:r w:rsidRPr="003A54D5">
        <w:rPr>
          <w:i/>
          <w:sz w:val="20"/>
          <w:szCs w:val="20"/>
          <w:lang w:val="en-GB"/>
        </w:rPr>
        <w:t>Rh.Gr</w:t>
      </w:r>
      <w:r w:rsidRPr="003A54D5">
        <w:rPr>
          <w:sz w:val="20"/>
          <w:szCs w:val="20"/>
          <w:lang w:val="en-GB"/>
        </w:rPr>
        <w:t xml:space="preserve">. III, 200.4-6 Spengel). In </w:t>
      </w:r>
      <w:r>
        <w:rPr>
          <w:sz w:val="20"/>
          <w:szCs w:val="20"/>
          <w:lang w:val="en-GB"/>
        </w:rPr>
        <w:t xml:space="preserve">his </w:t>
      </w:r>
      <w:r w:rsidRPr="003A54D5">
        <w:rPr>
          <w:sz w:val="20"/>
          <w:szCs w:val="20"/>
          <w:lang w:val="en-GB"/>
        </w:rPr>
        <w:t xml:space="preserve">definition of these elements Trypho makes it clear that the </w:t>
      </w:r>
      <w:r w:rsidRPr="003A54D5">
        <w:rPr>
          <w:i/>
          <w:sz w:val="20"/>
          <w:szCs w:val="20"/>
          <w:lang w:val="en-GB"/>
        </w:rPr>
        <w:t>paradeigma</w:t>
      </w:r>
      <w:r w:rsidRPr="003A54D5">
        <w:rPr>
          <w:sz w:val="20"/>
          <w:szCs w:val="20"/>
          <w:lang w:val="en-GB"/>
        </w:rPr>
        <w:t xml:space="preserve"> refers to real and past events (</w:t>
      </w:r>
      <w:r w:rsidRPr="003A54D5">
        <w:rPr>
          <w:i/>
          <w:sz w:val="20"/>
          <w:szCs w:val="20"/>
          <w:lang w:val="en-GB"/>
        </w:rPr>
        <w:t>Rh.Gr</w:t>
      </w:r>
      <w:r w:rsidRPr="003A54D5">
        <w:rPr>
          <w:sz w:val="20"/>
          <w:szCs w:val="20"/>
          <w:lang w:val="en-GB"/>
        </w:rPr>
        <w:t xml:space="preserve">. III, 200.21-23 Spengel), and it differs from the </w:t>
      </w:r>
      <w:r w:rsidRPr="00A21F2C">
        <w:rPr>
          <w:i/>
          <w:sz w:val="20"/>
          <w:szCs w:val="20"/>
          <w:lang w:val="en-GB"/>
        </w:rPr>
        <w:t>parabole</w:t>
      </w:r>
      <w:r w:rsidRPr="003C7826">
        <w:rPr>
          <w:sz w:val="20"/>
          <w:szCs w:val="20"/>
          <w:lang w:val="en-GB"/>
        </w:rPr>
        <w:t xml:space="preserve"> in that this last refers to undetermined and possible events</w:t>
      </w:r>
      <w:r w:rsidRPr="003E0CA3">
        <w:rPr>
          <w:sz w:val="20"/>
          <w:szCs w:val="20"/>
          <w:lang w:val="en-GB"/>
        </w:rPr>
        <w:t xml:space="preserve"> (</w:t>
      </w:r>
      <w:r w:rsidRPr="00793F4F">
        <w:rPr>
          <w:i/>
          <w:sz w:val="20"/>
          <w:szCs w:val="20"/>
          <w:lang w:val="en-GB"/>
        </w:rPr>
        <w:t>Rh.Gr</w:t>
      </w:r>
      <w:r w:rsidRPr="00793F4F">
        <w:rPr>
          <w:sz w:val="20"/>
          <w:szCs w:val="20"/>
          <w:lang w:val="en-GB"/>
        </w:rPr>
        <w:t>. III, 200.31-201.2 Spengel).</w:t>
      </w:r>
    </w:p>
  </w:footnote>
  <w:footnote w:id="46">
    <w:p w:rsidR="00FB1069" w:rsidRPr="00E869C9" w:rsidRDefault="00FB1069" w:rsidP="00E869C9">
      <w:pPr>
        <w:pStyle w:val="Textonotapie"/>
        <w:jc w:val="both"/>
        <w:rPr>
          <w:sz w:val="20"/>
          <w:szCs w:val="20"/>
          <w:lang w:val="en-GB"/>
        </w:rPr>
      </w:pPr>
      <w:r w:rsidRPr="00E869C9">
        <w:rPr>
          <w:rStyle w:val="Refdenotaalpie"/>
          <w:sz w:val="20"/>
          <w:szCs w:val="20"/>
        </w:rPr>
        <w:footnoteRef/>
      </w:r>
      <w:r w:rsidRPr="00E869C9">
        <w:rPr>
          <w:sz w:val="20"/>
          <w:szCs w:val="20"/>
          <w:lang w:val="en-GB"/>
        </w:rPr>
        <w:t xml:space="preserve"> In the Hellenistic period </w:t>
      </w:r>
      <w:r w:rsidRPr="00E869C9">
        <w:rPr>
          <w:i/>
          <w:sz w:val="20"/>
          <w:szCs w:val="20"/>
          <w:lang w:val="en-GB"/>
        </w:rPr>
        <w:t>inventio</w:t>
      </w:r>
      <w:r w:rsidRPr="00E869C9">
        <w:rPr>
          <w:sz w:val="20"/>
          <w:szCs w:val="20"/>
          <w:lang w:val="en-GB"/>
        </w:rPr>
        <w:t xml:space="preserve"> is expanded to include the </w:t>
      </w:r>
      <w:r w:rsidRPr="00E869C9">
        <w:rPr>
          <w:i/>
          <w:sz w:val="20"/>
          <w:szCs w:val="20"/>
          <w:lang w:val="en-GB"/>
        </w:rPr>
        <w:t>stasis</w:t>
      </w:r>
      <w:r w:rsidRPr="00E869C9">
        <w:rPr>
          <w:sz w:val="20"/>
          <w:szCs w:val="20"/>
          <w:lang w:val="en-GB"/>
        </w:rPr>
        <w:t xml:space="preserve"> theory, that is, the technique of determining the central question of a speech and designing the strategy to follow in the argumentation. Concretely, the </w:t>
      </w:r>
      <w:r w:rsidRPr="00E869C9">
        <w:rPr>
          <w:i/>
          <w:sz w:val="20"/>
          <w:szCs w:val="20"/>
          <w:lang w:val="en-GB"/>
        </w:rPr>
        <w:t>stasis</w:t>
      </w:r>
      <w:r w:rsidRPr="00E869C9">
        <w:rPr>
          <w:sz w:val="20"/>
          <w:szCs w:val="20"/>
          <w:lang w:val="en-GB"/>
        </w:rPr>
        <w:t xml:space="preserve"> theory was formulated by Hermagoras of Temnos in the 2</w:t>
      </w:r>
      <w:r w:rsidRPr="00E869C9">
        <w:rPr>
          <w:sz w:val="20"/>
          <w:szCs w:val="20"/>
          <w:vertAlign w:val="superscript"/>
          <w:lang w:val="en-GB"/>
        </w:rPr>
        <w:t>nd</w:t>
      </w:r>
      <w:r w:rsidRPr="00E869C9">
        <w:rPr>
          <w:sz w:val="20"/>
          <w:szCs w:val="20"/>
          <w:lang w:val="en-GB"/>
        </w:rPr>
        <w:t xml:space="preserve"> century BC, but his treatise was lost and we know it through the version of Hermogenes of Tarsus (2</w:t>
      </w:r>
      <w:r w:rsidRPr="00E869C9">
        <w:rPr>
          <w:sz w:val="20"/>
          <w:szCs w:val="20"/>
          <w:vertAlign w:val="superscript"/>
          <w:lang w:val="en-GB"/>
        </w:rPr>
        <w:t>nd</w:t>
      </w:r>
      <w:r w:rsidRPr="00E869C9">
        <w:rPr>
          <w:sz w:val="20"/>
          <w:szCs w:val="20"/>
          <w:lang w:val="en-GB"/>
        </w:rPr>
        <w:t xml:space="preserve"> century AD). On the process of formation of the </w:t>
      </w:r>
      <w:r w:rsidRPr="00E869C9">
        <w:rPr>
          <w:i/>
          <w:sz w:val="20"/>
          <w:szCs w:val="20"/>
          <w:lang w:val="en-GB"/>
        </w:rPr>
        <w:t>stasis</w:t>
      </w:r>
      <w:r w:rsidRPr="00E869C9">
        <w:rPr>
          <w:sz w:val="20"/>
          <w:szCs w:val="20"/>
          <w:lang w:val="en-GB"/>
        </w:rPr>
        <w:t xml:space="preserve"> theory from Hermagoras to Hermogenes, cf. Nadeau (1959). On the </w:t>
      </w:r>
      <w:r w:rsidRPr="00E869C9">
        <w:rPr>
          <w:i/>
          <w:sz w:val="20"/>
          <w:szCs w:val="20"/>
          <w:lang w:val="en-GB"/>
        </w:rPr>
        <w:t>stasis</w:t>
      </w:r>
      <w:r w:rsidRPr="00E869C9">
        <w:rPr>
          <w:sz w:val="20"/>
          <w:szCs w:val="20"/>
          <w:lang w:val="en-GB"/>
        </w:rPr>
        <w:t xml:space="preserve"> theory, cf. Kennedy (1983) 73-86;</w:t>
      </w:r>
      <w:r>
        <w:rPr>
          <w:sz w:val="20"/>
          <w:szCs w:val="20"/>
          <w:lang w:val="en-GB"/>
        </w:rPr>
        <w:t xml:space="preserve"> Calboli Montefusco (1986). The</w:t>
      </w:r>
      <w:r w:rsidRPr="00E869C9">
        <w:rPr>
          <w:sz w:val="20"/>
          <w:szCs w:val="20"/>
          <w:lang w:val="en-GB"/>
        </w:rPr>
        <w:t xml:space="preserve"> work </w:t>
      </w:r>
      <w:r>
        <w:rPr>
          <w:sz w:val="20"/>
          <w:szCs w:val="20"/>
          <w:lang w:val="en-GB"/>
        </w:rPr>
        <w:t xml:space="preserve">or Hermogenes of Tarsus </w:t>
      </w:r>
      <w:r w:rsidRPr="00E869C9">
        <w:rPr>
          <w:sz w:val="20"/>
          <w:szCs w:val="20"/>
          <w:lang w:val="en-GB"/>
        </w:rPr>
        <w:t>did not initially have great success (it seems that, at the time, the handbook of Minucianus had greater success), but it became the essential handbook of rhetoric from the 5</w:t>
      </w:r>
      <w:r w:rsidRPr="00E869C9">
        <w:rPr>
          <w:sz w:val="20"/>
          <w:szCs w:val="20"/>
          <w:vertAlign w:val="superscript"/>
          <w:lang w:val="en-GB"/>
        </w:rPr>
        <w:t>th</w:t>
      </w:r>
      <w:r w:rsidRPr="00E869C9">
        <w:rPr>
          <w:sz w:val="20"/>
          <w:szCs w:val="20"/>
          <w:lang w:val="en-GB"/>
        </w:rPr>
        <w:t xml:space="preserve"> to the 15</w:t>
      </w:r>
      <w:r w:rsidRPr="00E869C9">
        <w:rPr>
          <w:sz w:val="20"/>
          <w:szCs w:val="20"/>
          <w:vertAlign w:val="superscript"/>
          <w:lang w:val="en-GB"/>
        </w:rPr>
        <w:t>th</w:t>
      </w:r>
      <w:r w:rsidRPr="00E869C9">
        <w:rPr>
          <w:sz w:val="20"/>
          <w:szCs w:val="20"/>
          <w:lang w:val="en-GB"/>
        </w:rPr>
        <w:t xml:space="preserve"> century AD; cf. Kennedy (1983) 73-74.</w:t>
      </w:r>
    </w:p>
  </w:footnote>
  <w:footnote w:id="47">
    <w:p w:rsidR="00FB1069" w:rsidRPr="00F84F26" w:rsidRDefault="00FB1069">
      <w:pPr>
        <w:pStyle w:val="Textonotapie"/>
        <w:jc w:val="both"/>
        <w:rPr>
          <w:sz w:val="20"/>
          <w:szCs w:val="20"/>
          <w:lang w:val="en-GB"/>
        </w:rPr>
      </w:pPr>
      <w:r w:rsidRPr="00F84F26">
        <w:rPr>
          <w:rStyle w:val="FootnoteCharacters"/>
          <w:sz w:val="20"/>
          <w:szCs w:val="20"/>
        </w:rPr>
        <w:footnoteRef/>
      </w:r>
      <w:r>
        <w:rPr>
          <w:sz w:val="20"/>
          <w:szCs w:val="20"/>
          <w:lang w:val="en-GB"/>
        </w:rPr>
        <w:t xml:space="preserve"> </w:t>
      </w:r>
      <w:r w:rsidRPr="00FF3EB2">
        <w:rPr>
          <w:sz w:val="20"/>
          <w:szCs w:val="20"/>
          <w:lang w:val="en-GB"/>
        </w:rPr>
        <w:t xml:space="preserve">Although in the beginning </w:t>
      </w:r>
      <w:r w:rsidRPr="00FF3EB2">
        <w:rPr>
          <w:i/>
          <w:sz w:val="20"/>
          <w:szCs w:val="20"/>
          <w:lang w:val="en-GB"/>
        </w:rPr>
        <w:t>paradeigma</w:t>
      </w:r>
      <w:r w:rsidRPr="00D70BB2">
        <w:rPr>
          <w:sz w:val="20"/>
          <w:szCs w:val="20"/>
          <w:lang w:val="en-GB"/>
        </w:rPr>
        <w:t xml:space="preserve"> and enthymeme are put on the same level of relevance (</w:t>
      </w:r>
      <w:r w:rsidRPr="00D70BB2">
        <w:rPr>
          <w:i/>
          <w:sz w:val="20"/>
          <w:szCs w:val="20"/>
          <w:lang w:val="en-GB"/>
        </w:rPr>
        <w:t>Rh</w:t>
      </w:r>
      <w:r w:rsidRPr="00D70BB2">
        <w:rPr>
          <w:sz w:val="20"/>
          <w:szCs w:val="20"/>
          <w:lang w:val="en-GB"/>
        </w:rPr>
        <w:t>. 1.2, 1356b18-25), later Aristotle claims that “induction is not suitable to rhetorical discourses except in a few case</w:t>
      </w:r>
      <w:r w:rsidRPr="00D70BB2">
        <w:rPr>
          <w:i/>
          <w:sz w:val="20"/>
          <w:szCs w:val="20"/>
          <w:lang w:val="en-GB"/>
        </w:rPr>
        <w:t>s</w:t>
      </w:r>
      <w:r w:rsidRPr="00D70BB2">
        <w:rPr>
          <w:sz w:val="20"/>
          <w:szCs w:val="20"/>
          <w:lang w:val="en-GB"/>
        </w:rPr>
        <w:t>” (</w:t>
      </w:r>
      <w:r w:rsidRPr="00D70BB2">
        <w:rPr>
          <w:rFonts w:ascii="GR Times New Roman" w:hAnsi="GR Times New Roman" w:cs="GR Times New Roman"/>
          <w:sz w:val="20"/>
          <w:szCs w:val="20"/>
          <w:lang w:val="el-GR"/>
        </w:rPr>
        <w:t>τοῖς</w:t>
      </w:r>
      <w:r w:rsidRPr="00946E4F">
        <w:rPr>
          <w:rFonts w:ascii="GR Times New Roman" w:hAnsi="GR Times New Roman" w:cs="GR Times New Roman"/>
          <w:sz w:val="20"/>
          <w:szCs w:val="20"/>
          <w:lang w:val="en-GB"/>
        </w:rPr>
        <w:t xml:space="preserve"> </w:t>
      </w:r>
      <w:r w:rsidRPr="00946E4F">
        <w:rPr>
          <w:rFonts w:ascii="GR Times New Roman" w:hAnsi="GR Times New Roman" w:cs="GR Times New Roman"/>
          <w:sz w:val="20"/>
          <w:szCs w:val="20"/>
          <w:lang w:val="el-GR"/>
        </w:rPr>
        <w:t>δὲ</w:t>
      </w:r>
      <w:r w:rsidRPr="003A54D5">
        <w:rPr>
          <w:rFonts w:ascii="GR Times New Roman" w:hAnsi="GR Times New Roman" w:cs="GR Times New Roman"/>
          <w:sz w:val="20"/>
          <w:szCs w:val="20"/>
          <w:lang w:val="en-GB"/>
        </w:rPr>
        <w:t xml:space="preserve"> </w:t>
      </w:r>
      <w:r w:rsidRPr="003A54D5">
        <w:rPr>
          <w:rFonts w:ascii="GR Times New Roman" w:hAnsi="GR Times New Roman" w:cs="GR Times New Roman"/>
          <w:sz w:val="20"/>
          <w:szCs w:val="20"/>
          <w:lang w:val="el-GR"/>
        </w:rPr>
        <w:t>ῥητορικοῖς</w:t>
      </w:r>
      <w:r w:rsidRPr="003A54D5">
        <w:rPr>
          <w:rFonts w:ascii="GR Times New Roman" w:hAnsi="GR Times New Roman" w:cs="GR Times New Roman"/>
          <w:sz w:val="20"/>
          <w:szCs w:val="20"/>
          <w:lang w:val="en-GB"/>
        </w:rPr>
        <w:t xml:space="preserve"> </w:t>
      </w:r>
      <w:r w:rsidRPr="003A54D5">
        <w:rPr>
          <w:rFonts w:ascii="GR Times New Roman" w:hAnsi="GR Times New Roman" w:cs="GR Times New Roman"/>
          <w:sz w:val="20"/>
          <w:szCs w:val="20"/>
          <w:lang w:val="el-GR"/>
        </w:rPr>
        <w:t>οὐκ</w:t>
      </w:r>
      <w:r w:rsidRPr="00A21F2C">
        <w:rPr>
          <w:rFonts w:ascii="GR Times New Roman" w:hAnsi="GR Times New Roman" w:cs="GR Times New Roman"/>
          <w:sz w:val="20"/>
          <w:szCs w:val="20"/>
          <w:lang w:val="en-GB"/>
        </w:rPr>
        <w:t xml:space="preserve"> </w:t>
      </w:r>
      <w:r w:rsidRPr="003C7826">
        <w:rPr>
          <w:rFonts w:ascii="GR Times New Roman" w:hAnsi="GR Times New Roman" w:cs="GR Times New Roman"/>
          <w:sz w:val="20"/>
          <w:szCs w:val="20"/>
          <w:lang w:val="el-GR"/>
        </w:rPr>
        <w:t>οἰκεῖον</w:t>
      </w:r>
      <w:r w:rsidRPr="003E0CA3">
        <w:rPr>
          <w:rFonts w:ascii="GR Times New Roman" w:hAnsi="GR Times New Roman" w:cs="GR Times New Roman"/>
          <w:sz w:val="20"/>
          <w:szCs w:val="20"/>
          <w:lang w:val="en-GB"/>
        </w:rPr>
        <w:t xml:space="preserve"> </w:t>
      </w:r>
      <w:r w:rsidRPr="00F84F26">
        <w:rPr>
          <w:rFonts w:ascii="GR Times New Roman" w:hAnsi="GR Times New Roman" w:cs="GR Times New Roman"/>
          <w:sz w:val="20"/>
          <w:szCs w:val="20"/>
          <w:lang w:val="el-GR"/>
        </w:rPr>
        <w:t>ἐπαγωγὴ</w:t>
      </w:r>
      <w:r w:rsidRPr="00F84F26">
        <w:rPr>
          <w:rFonts w:ascii="GR Times New Roman" w:hAnsi="GR Times New Roman" w:cs="GR Times New Roman"/>
          <w:sz w:val="20"/>
          <w:szCs w:val="20"/>
          <w:lang w:val="en-GB"/>
        </w:rPr>
        <w:t xml:space="preserve"> </w:t>
      </w:r>
      <w:r w:rsidRPr="00F84F26">
        <w:rPr>
          <w:rFonts w:ascii="GR Times New Roman" w:hAnsi="GR Times New Roman" w:cs="GR Times New Roman"/>
          <w:sz w:val="20"/>
          <w:szCs w:val="20"/>
          <w:lang w:val="el-GR"/>
        </w:rPr>
        <w:t>πλὴν</w:t>
      </w:r>
      <w:r w:rsidRPr="00F84F26">
        <w:rPr>
          <w:rFonts w:ascii="GR Times New Roman" w:hAnsi="GR Times New Roman" w:cs="GR Times New Roman"/>
          <w:sz w:val="20"/>
          <w:szCs w:val="20"/>
          <w:lang w:val="en-GB"/>
        </w:rPr>
        <w:t xml:space="preserve"> </w:t>
      </w:r>
      <w:r w:rsidRPr="00F84F26">
        <w:rPr>
          <w:rFonts w:ascii="GR Times New Roman" w:hAnsi="GR Times New Roman" w:cs="GR Times New Roman"/>
          <w:sz w:val="20"/>
          <w:szCs w:val="20"/>
          <w:lang w:val="el-GR"/>
        </w:rPr>
        <w:t>ἐν</w:t>
      </w:r>
      <w:r w:rsidRPr="00F84F26">
        <w:rPr>
          <w:rFonts w:ascii="GR Times New Roman" w:hAnsi="GR Times New Roman" w:cs="GR Times New Roman"/>
          <w:sz w:val="20"/>
          <w:szCs w:val="20"/>
          <w:lang w:val="en-GB"/>
        </w:rPr>
        <w:t xml:space="preserve"> </w:t>
      </w:r>
      <w:r w:rsidRPr="00F84F26">
        <w:rPr>
          <w:rFonts w:ascii="GR Times New Roman" w:hAnsi="GR Times New Roman" w:cs="GR Times New Roman"/>
          <w:sz w:val="20"/>
          <w:szCs w:val="20"/>
          <w:lang w:val="el-GR"/>
        </w:rPr>
        <w:t>ὀλίγοις</w:t>
      </w:r>
      <w:r w:rsidRPr="00F84F26">
        <w:rPr>
          <w:sz w:val="20"/>
          <w:szCs w:val="20"/>
          <w:lang w:val="en-GB"/>
        </w:rPr>
        <w:t xml:space="preserve">, </w:t>
      </w:r>
      <w:r w:rsidRPr="00F84F26">
        <w:rPr>
          <w:i/>
          <w:sz w:val="20"/>
          <w:szCs w:val="20"/>
          <w:lang w:val="en-GB"/>
        </w:rPr>
        <w:t>Rh</w:t>
      </w:r>
      <w:r w:rsidRPr="00F84F26">
        <w:rPr>
          <w:sz w:val="20"/>
          <w:szCs w:val="20"/>
          <w:lang w:val="en-GB"/>
        </w:rPr>
        <w:t xml:space="preserve">. 2.20, 1394a12-13). The supremacy of the enthymeme over the example can also be appreciated in other passages of </w:t>
      </w:r>
      <w:r w:rsidRPr="00D733B4">
        <w:rPr>
          <w:i/>
          <w:sz w:val="20"/>
          <w:szCs w:val="20"/>
          <w:lang w:val="en-GB"/>
        </w:rPr>
        <w:t>Rhetoric</w:t>
      </w:r>
      <w:r w:rsidRPr="00D733B4">
        <w:rPr>
          <w:sz w:val="20"/>
          <w:szCs w:val="20"/>
          <w:lang w:val="en-GB"/>
        </w:rPr>
        <w:t xml:space="preserve">. See, for example, </w:t>
      </w:r>
      <w:r w:rsidRPr="00D733B4">
        <w:rPr>
          <w:i/>
          <w:sz w:val="20"/>
          <w:szCs w:val="20"/>
          <w:lang w:val="en-GB"/>
        </w:rPr>
        <w:t xml:space="preserve">Rh. </w:t>
      </w:r>
      <w:r w:rsidRPr="00D733B4">
        <w:rPr>
          <w:sz w:val="20"/>
          <w:szCs w:val="20"/>
          <w:lang w:val="en-GB"/>
        </w:rPr>
        <w:t>1.1, 1354a15, where enthymeme is described as “the ‘body’ of persuasion” (</w:t>
      </w:r>
      <w:r w:rsidRPr="00D733B4">
        <w:rPr>
          <w:rFonts w:ascii="GR Times New Roman" w:hAnsi="GR Times New Roman" w:cs="GR Times New Roman"/>
          <w:sz w:val="20"/>
          <w:szCs w:val="20"/>
          <w:lang w:val="el-GR"/>
        </w:rPr>
        <w:t>σῶμα</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lang w:val="el-GR"/>
        </w:rPr>
        <w:t>τῆς</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lang w:val="el-GR"/>
        </w:rPr>
        <w:t>πίστεως</w:t>
      </w:r>
      <w:r w:rsidRPr="00D733B4">
        <w:rPr>
          <w:sz w:val="20"/>
          <w:szCs w:val="20"/>
          <w:lang w:val="en-GB"/>
        </w:rPr>
        <w:t xml:space="preserve">) or </w:t>
      </w:r>
      <w:r w:rsidRPr="00D733B4">
        <w:rPr>
          <w:i/>
          <w:sz w:val="20"/>
          <w:szCs w:val="20"/>
          <w:lang w:val="en-GB"/>
        </w:rPr>
        <w:t>Rh</w:t>
      </w:r>
      <w:r w:rsidRPr="00D733B4">
        <w:rPr>
          <w:sz w:val="20"/>
          <w:szCs w:val="20"/>
          <w:lang w:val="en-GB"/>
        </w:rPr>
        <w:t xml:space="preserve">. 1.1, 1355a6-8: “rhetorical </w:t>
      </w:r>
      <w:r w:rsidRPr="00D733B4">
        <w:rPr>
          <w:i/>
          <w:sz w:val="20"/>
          <w:szCs w:val="20"/>
          <w:lang w:val="en-GB"/>
        </w:rPr>
        <w:t>apodeixis</w:t>
      </w:r>
      <w:r w:rsidRPr="00D733B4">
        <w:rPr>
          <w:sz w:val="20"/>
          <w:szCs w:val="20"/>
          <w:lang w:val="en-GB"/>
        </w:rPr>
        <w:t xml:space="preserve"> is enthymeme (and this is, generally speaking, the strongest of the </w:t>
      </w:r>
      <w:r w:rsidRPr="00D733B4">
        <w:rPr>
          <w:i/>
          <w:sz w:val="20"/>
          <w:szCs w:val="20"/>
          <w:lang w:val="en-GB"/>
        </w:rPr>
        <w:t>pisteis</w:t>
      </w:r>
      <w:r w:rsidRPr="00D733B4">
        <w:rPr>
          <w:sz w:val="20"/>
          <w:szCs w:val="20"/>
          <w:lang w:val="en-GB"/>
        </w:rPr>
        <w:t>)” (</w:t>
      </w:r>
      <w:r w:rsidRPr="00D733B4">
        <w:rPr>
          <w:rFonts w:ascii="GR Times New Roman" w:hAnsi="GR Times New Roman" w:cs="GR Times New Roman"/>
          <w:sz w:val="20"/>
          <w:szCs w:val="20"/>
        </w:rPr>
        <w:t>ἔστι</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rPr>
        <w:t>δ</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rPr>
        <w:t>ἀπόδειξις</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rPr>
        <w:t>ῥητορικὴ</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rPr>
        <w:t>ἐνθύμημα</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rPr>
        <w:t>καὶ</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rPr>
        <w:t>ἔστι</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rPr>
        <w:t>τοῦτο</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rPr>
        <w:t>ὡς</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rPr>
        <w:t>εἰπεῖν</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rPr>
        <w:t>ἁπλῶς</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rPr>
        <w:t>κυριώτατον</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rPr>
        <w:t>τῶν</w:t>
      </w:r>
      <w:r w:rsidRPr="00D733B4">
        <w:rPr>
          <w:rFonts w:ascii="GR Times New Roman" w:hAnsi="GR Times New Roman" w:cs="GR Times New Roman"/>
          <w:sz w:val="20"/>
          <w:szCs w:val="20"/>
          <w:lang w:val="en-GB"/>
        </w:rPr>
        <w:t xml:space="preserve"> </w:t>
      </w:r>
      <w:r w:rsidRPr="00D733B4">
        <w:rPr>
          <w:rFonts w:ascii="GR Times New Roman" w:hAnsi="GR Times New Roman" w:cs="GR Times New Roman"/>
          <w:sz w:val="20"/>
          <w:szCs w:val="20"/>
        </w:rPr>
        <w:t>πίστεων</w:t>
      </w:r>
      <w:r w:rsidRPr="00D733B4">
        <w:rPr>
          <w:sz w:val="20"/>
          <w:szCs w:val="20"/>
          <w:lang w:val="en-GB"/>
        </w:rPr>
        <w:t xml:space="preserve">). On this, cf. </w:t>
      </w:r>
      <w:r w:rsidRPr="004F4244">
        <w:rPr>
          <w:sz w:val="20"/>
          <w:szCs w:val="20"/>
          <w:lang w:val="en-GB"/>
        </w:rPr>
        <w:t>Cope</w:t>
      </w:r>
      <w:r w:rsidRPr="00D733B4">
        <w:rPr>
          <w:sz w:val="20"/>
          <w:szCs w:val="20"/>
          <w:lang w:val="en-GB"/>
        </w:rPr>
        <w:t xml:space="preserve"> </w:t>
      </w:r>
      <w:r>
        <w:rPr>
          <w:sz w:val="20"/>
          <w:szCs w:val="20"/>
          <w:lang w:val="en-GB"/>
        </w:rPr>
        <w:t>(</w:t>
      </w:r>
      <w:r w:rsidRPr="00D733B4">
        <w:rPr>
          <w:sz w:val="20"/>
          <w:szCs w:val="20"/>
          <w:lang w:val="en-GB"/>
        </w:rPr>
        <w:t>1867</w:t>
      </w:r>
      <w:r>
        <w:rPr>
          <w:sz w:val="20"/>
          <w:szCs w:val="20"/>
          <w:lang w:val="en-GB"/>
        </w:rPr>
        <w:t>)</w:t>
      </w:r>
      <w:r w:rsidRPr="00D733B4">
        <w:rPr>
          <w:sz w:val="20"/>
          <w:szCs w:val="20"/>
          <w:lang w:val="en-GB"/>
        </w:rPr>
        <w:t xml:space="preserve"> 107-108.</w:t>
      </w:r>
    </w:p>
  </w:footnote>
  <w:footnote w:id="48">
    <w:p w:rsidR="00FB1069" w:rsidRPr="008B49D5" w:rsidRDefault="00FB1069" w:rsidP="00863D36">
      <w:pPr>
        <w:pStyle w:val="Textonotapie"/>
        <w:jc w:val="both"/>
        <w:rPr>
          <w:sz w:val="20"/>
          <w:szCs w:val="20"/>
          <w:lang w:val="en-GB"/>
        </w:rPr>
      </w:pPr>
      <w:r w:rsidRPr="008B49D5">
        <w:rPr>
          <w:rStyle w:val="FootnoteCharacters"/>
          <w:sz w:val="20"/>
          <w:szCs w:val="20"/>
        </w:rPr>
        <w:footnoteRef/>
      </w:r>
      <w:r>
        <w:rPr>
          <w:sz w:val="20"/>
          <w:szCs w:val="20"/>
          <w:lang w:val="en-GB"/>
        </w:rPr>
        <w:t xml:space="preserve"> </w:t>
      </w:r>
      <w:r w:rsidRPr="00FF3EB2">
        <w:rPr>
          <w:sz w:val="20"/>
          <w:szCs w:val="20"/>
          <w:lang w:val="en-GB"/>
        </w:rPr>
        <w:t xml:space="preserve">On </w:t>
      </w:r>
      <w:r w:rsidRPr="00FF3EB2">
        <w:rPr>
          <w:i/>
          <w:sz w:val="20"/>
          <w:szCs w:val="20"/>
          <w:lang w:val="en-GB"/>
        </w:rPr>
        <w:t>ekphrasis</w:t>
      </w:r>
      <w:r w:rsidRPr="00D70BB2">
        <w:rPr>
          <w:sz w:val="20"/>
          <w:szCs w:val="20"/>
          <w:lang w:val="en-GB"/>
        </w:rPr>
        <w:t xml:space="preserve">, cf. </w:t>
      </w:r>
      <w:r w:rsidRPr="0091204C">
        <w:rPr>
          <w:sz w:val="20"/>
          <w:szCs w:val="20"/>
          <w:lang w:val="en-GB"/>
        </w:rPr>
        <w:t>Webb</w:t>
      </w:r>
      <w:r w:rsidRPr="00D70BB2">
        <w:rPr>
          <w:sz w:val="20"/>
          <w:szCs w:val="20"/>
          <w:lang w:val="en-GB"/>
        </w:rPr>
        <w:t xml:space="preserve"> </w:t>
      </w:r>
      <w:r>
        <w:rPr>
          <w:sz w:val="20"/>
          <w:szCs w:val="20"/>
          <w:lang w:val="en-GB"/>
        </w:rPr>
        <w:t>(</w:t>
      </w:r>
      <w:r w:rsidRPr="00D70BB2">
        <w:rPr>
          <w:sz w:val="20"/>
          <w:szCs w:val="20"/>
          <w:lang w:val="en-GB"/>
        </w:rPr>
        <w:t>2009</w:t>
      </w:r>
      <w:r>
        <w:rPr>
          <w:sz w:val="20"/>
          <w:szCs w:val="20"/>
          <w:lang w:val="en-GB"/>
        </w:rPr>
        <w:t>)</w:t>
      </w:r>
      <w:r w:rsidRPr="00D70BB2">
        <w:rPr>
          <w:sz w:val="20"/>
          <w:szCs w:val="20"/>
          <w:lang w:val="en-GB"/>
        </w:rPr>
        <w:t>.</w:t>
      </w:r>
    </w:p>
  </w:footnote>
  <w:footnote w:id="49">
    <w:p w:rsidR="00FB1069" w:rsidRPr="00F84F26" w:rsidRDefault="00FB1069">
      <w:pPr>
        <w:pStyle w:val="Textonotapie"/>
        <w:jc w:val="both"/>
        <w:rPr>
          <w:sz w:val="20"/>
          <w:szCs w:val="20"/>
          <w:lang w:val="en-GB"/>
        </w:rPr>
      </w:pPr>
      <w:r w:rsidRPr="00F84F26">
        <w:rPr>
          <w:rStyle w:val="FootnoteCharacters"/>
          <w:sz w:val="20"/>
          <w:szCs w:val="20"/>
        </w:rPr>
        <w:footnoteRef/>
      </w:r>
      <w:r>
        <w:rPr>
          <w:sz w:val="20"/>
          <w:szCs w:val="20"/>
          <w:lang w:val="en-GB"/>
        </w:rPr>
        <w:t xml:space="preserve"> </w:t>
      </w:r>
      <w:r w:rsidRPr="00F84F26">
        <w:rPr>
          <w:sz w:val="20"/>
          <w:szCs w:val="20"/>
          <w:lang w:val="en-GB"/>
        </w:rPr>
        <w:t xml:space="preserve">Cf. </w:t>
      </w:r>
      <w:r w:rsidRPr="00D6703E">
        <w:rPr>
          <w:sz w:val="20"/>
          <w:szCs w:val="20"/>
          <w:lang w:val="en-GB"/>
        </w:rPr>
        <w:t>Demoen</w:t>
      </w:r>
      <w:r w:rsidRPr="00F84F26">
        <w:rPr>
          <w:sz w:val="20"/>
          <w:szCs w:val="20"/>
          <w:lang w:val="en-GB"/>
        </w:rPr>
        <w:t xml:space="preserve"> </w:t>
      </w:r>
      <w:r>
        <w:rPr>
          <w:sz w:val="20"/>
          <w:szCs w:val="20"/>
          <w:lang w:val="en-GB"/>
        </w:rPr>
        <w:t>(</w:t>
      </w:r>
      <w:r w:rsidRPr="00F84F26">
        <w:rPr>
          <w:sz w:val="20"/>
          <w:szCs w:val="20"/>
          <w:lang w:val="en-GB"/>
        </w:rPr>
        <w:t>1996</w:t>
      </w:r>
      <w:r>
        <w:rPr>
          <w:sz w:val="20"/>
          <w:szCs w:val="20"/>
          <w:lang w:val="en-GB"/>
        </w:rPr>
        <w:t>)</w:t>
      </w:r>
      <w:r w:rsidRPr="00F84F26">
        <w:rPr>
          <w:sz w:val="20"/>
          <w:szCs w:val="20"/>
          <w:lang w:val="en-GB"/>
        </w:rPr>
        <w:t xml:space="preserve"> 47.</w:t>
      </w:r>
    </w:p>
  </w:footnote>
  <w:footnote w:id="50">
    <w:p w:rsidR="00FB1069" w:rsidRPr="00F84F26" w:rsidRDefault="00FB1069">
      <w:pPr>
        <w:pStyle w:val="Textonotapie"/>
        <w:jc w:val="both"/>
        <w:rPr>
          <w:sz w:val="20"/>
          <w:szCs w:val="20"/>
          <w:lang w:val="en-GB"/>
        </w:rPr>
      </w:pPr>
      <w:r w:rsidRPr="00F84F26">
        <w:rPr>
          <w:rStyle w:val="FootnoteCharacters"/>
          <w:sz w:val="20"/>
          <w:szCs w:val="20"/>
        </w:rPr>
        <w:footnoteRef/>
      </w:r>
      <w:r>
        <w:rPr>
          <w:sz w:val="20"/>
          <w:szCs w:val="20"/>
          <w:lang w:val="en-GB"/>
        </w:rPr>
        <w:t xml:space="preserve"> </w:t>
      </w:r>
      <w:r w:rsidRPr="00FF3EB2">
        <w:rPr>
          <w:sz w:val="20"/>
          <w:szCs w:val="20"/>
          <w:lang w:val="en-GB"/>
        </w:rPr>
        <w:t xml:space="preserve">I use for Aphthonius the edition of </w:t>
      </w:r>
      <w:r w:rsidRPr="00D6703E">
        <w:rPr>
          <w:sz w:val="20"/>
          <w:szCs w:val="20"/>
          <w:lang w:val="en-GB"/>
        </w:rPr>
        <w:t>Patillon</w:t>
      </w:r>
      <w:r w:rsidRPr="00D70BB2">
        <w:rPr>
          <w:sz w:val="20"/>
          <w:szCs w:val="20"/>
          <w:lang w:val="en-GB"/>
        </w:rPr>
        <w:t xml:space="preserve"> </w:t>
      </w:r>
      <w:r>
        <w:rPr>
          <w:sz w:val="20"/>
          <w:szCs w:val="20"/>
          <w:lang w:val="en-GB"/>
        </w:rPr>
        <w:t>(</w:t>
      </w:r>
      <w:r w:rsidRPr="00D70BB2">
        <w:rPr>
          <w:sz w:val="20"/>
          <w:szCs w:val="20"/>
          <w:lang w:val="en-GB"/>
        </w:rPr>
        <w:t>2008</w:t>
      </w:r>
      <w:r>
        <w:rPr>
          <w:sz w:val="20"/>
          <w:szCs w:val="20"/>
          <w:lang w:val="en-GB"/>
        </w:rPr>
        <w:t>)</w:t>
      </w:r>
      <w:r w:rsidRPr="00D70BB2">
        <w:rPr>
          <w:sz w:val="20"/>
          <w:szCs w:val="20"/>
          <w:lang w:val="en-GB"/>
        </w:rPr>
        <w:t xml:space="preserve"> and the translation of </w:t>
      </w:r>
      <w:r w:rsidRPr="00D6703E">
        <w:rPr>
          <w:sz w:val="20"/>
          <w:szCs w:val="20"/>
          <w:lang w:val="en-GB"/>
        </w:rPr>
        <w:t>Kennedy</w:t>
      </w:r>
      <w:r w:rsidRPr="00D70BB2">
        <w:rPr>
          <w:sz w:val="20"/>
          <w:szCs w:val="20"/>
          <w:lang w:val="en-GB"/>
        </w:rPr>
        <w:t xml:space="preserve"> </w:t>
      </w:r>
      <w:r>
        <w:rPr>
          <w:sz w:val="20"/>
          <w:szCs w:val="20"/>
          <w:lang w:val="en-GB"/>
        </w:rPr>
        <w:t>(</w:t>
      </w:r>
      <w:r w:rsidRPr="00D70BB2">
        <w:rPr>
          <w:sz w:val="20"/>
          <w:szCs w:val="20"/>
          <w:lang w:val="en-GB"/>
        </w:rPr>
        <w:t>2003b</w:t>
      </w:r>
      <w:r>
        <w:rPr>
          <w:sz w:val="20"/>
          <w:szCs w:val="20"/>
          <w:lang w:val="en-GB"/>
        </w:rPr>
        <w:t>)</w:t>
      </w:r>
      <w:r w:rsidRPr="00D70BB2">
        <w:rPr>
          <w:sz w:val="20"/>
          <w:szCs w:val="20"/>
          <w:lang w:val="en-GB"/>
        </w:rPr>
        <w:t>.</w:t>
      </w:r>
    </w:p>
  </w:footnote>
  <w:footnote w:id="51">
    <w:p w:rsidR="00FB1069" w:rsidRPr="00F84F26" w:rsidRDefault="00FB1069">
      <w:pPr>
        <w:pStyle w:val="Textonotapie"/>
        <w:jc w:val="both"/>
        <w:rPr>
          <w:sz w:val="20"/>
          <w:szCs w:val="20"/>
          <w:lang w:val="fr-FR"/>
        </w:rPr>
      </w:pPr>
      <w:r w:rsidRPr="00F84F26">
        <w:rPr>
          <w:rStyle w:val="FootnoteCharacters"/>
          <w:sz w:val="20"/>
          <w:szCs w:val="20"/>
        </w:rPr>
        <w:footnoteRef/>
      </w:r>
      <w:r>
        <w:rPr>
          <w:sz w:val="20"/>
          <w:szCs w:val="20"/>
          <w:lang w:val="en-GB"/>
        </w:rPr>
        <w:t xml:space="preserve"> </w:t>
      </w:r>
      <w:r w:rsidRPr="00FF3EB2">
        <w:rPr>
          <w:sz w:val="20"/>
          <w:szCs w:val="20"/>
          <w:lang w:val="en-GB"/>
        </w:rPr>
        <w:t xml:space="preserve">In the </w:t>
      </w:r>
      <w:r w:rsidRPr="00FF3EB2">
        <w:rPr>
          <w:i/>
          <w:sz w:val="20"/>
          <w:szCs w:val="20"/>
          <w:lang w:val="en-GB"/>
        </w:rPr>
        <w:t>Anonymus Seguerianus</w:t>
      </w:r>
      <w:r w:rsidRPr="00D70BB2">
        <w:rPr>
          <w:sz w:val="20"/>
          <w:szCs w:val="20"/>
          <w:lang w:val="en-GB"/>
        </w:rPr>
        <w:t xml:space="preserve"> (§ 99) the </w:t>
      </w:r>
      <w:r w:rsidRPr="00D70BB2">
        <w:rPr>
          <w:i/>
          <w:sz w:val="20"/>
          <w:szCs w:val="20"/>
          <w:lang w:val="en-GB"/>
        </w:rPr>
        <w:t>mythos</w:t>
      </w:r>
      <w:r w:rsidRPr="00D70BB2">
        <w:rPr>
          <w:sz w:val="20"/>
          <w:szCs w:val="20"/>
          <w:lang w:val="en-GB"/>
        </w:rPr>
        <w:t xml:space="preserve"> is dealt with in the section devoted to the narrative. </w:t>
      </w:r>
      <w:r w:rsidRPr="00D70BB2">
        <w:rPr>
          <w:sz w:val="20"/>
          <w:szCs w:val="20"/>
          <w:lang w:val="fr-FR"/>
        </w:rPr>
        <w:t xml:space="preserve">Concretely, “l’Anonyme appelle </w:t>
      </w:r>
      <w:r w:rsidRPr="00D70BB2">
        <w:rPr>
          <w:rFonts w:ascii="GR Times New Roman" w:hAnsi="GR Times New Roman" w:cs="GR Times New Roman"/>
          <w:sz w:val="20"/>
          <w:szCs w:val="20"/>
          <w:lang w:val="el-GR"/>
        </w:rPr>
        <w:t>μῦθος</w:t>
      </w:r>
      <w:r w:rsidRPr="00D70BB2">
        <w:rPr>
          <w:sz w:val="20"/>
          <w:szCs w:val="20"/>
          <w:lang w:val="fr-FR"/>
        </w:rPr>
        <w:t xml:space="preserve"> une narration dans la narration, plus précisément une narration fictive dans una narration réaliste”; cf. </w:t>
      </w:r>
      <w:r w:rsidRPr="00433AC3">
        <w:rPr>
          <w:sz w:val="20"/>
          <w:szCs w:val="20"/>
          <w:lang w:val="fr-FR"/>
        </w:rPr>
        <w:t>Chiron</w:t>
      </w:r>
      <w:r w:rsidRPr="00946E4F">
        <w:rPr>
          <w:sz w:val="20"/>
          <w:szCs w:val="20"/>
          <w:lang w:val="fr-FR"/>
        </w:rPr>
        <w:t xml:space="preserve"> </w:t>
      </w:r>
      <w:r>
        <w:rPr>
          <w:sz w:val="20"/>
          <w:szCs w:val="20"/>
          <w:lang w:val="fr-FR"/>
        </w:rPr>
        <w:t>(</w:t>
      </w:r>
      <w:r w:rsidRPr="00946E4F">
        <w:rPr>
          <w:sz w:val="20"/>
          <w:szCs w:val="20"/>
          <w:lang w:val="fr-FR"/>
        </w:rPr>
        <w:t>2011b</w:t>
      </w:r>
      <w:r>
        <w:rPr>
          <w:sz w:val="20"/>
          <w:szCs w:val="20"/>
          <w:lang w:val="fr-FR"/>
        </w:rPr>
        <w:t>)</w:t>
      </w:r>
      <w:r w:rsidRPr="00946E4F">
        <w:rPr>
          <w:sz w:val="20"/>
          <w:szCs w:val="20"/>
          <w:lang w:val="fr-FR"/>
        </w:rPr>
        <w:t xml:space="preserve"> 38.</w:t>
      </w:r>
    </w:p>
  </w:footnote>
  <w:footnote w:id="52">
    <w:p w:rsidR="00FB1069" w:rsidRPr="00F84F26" w:rsidRDefault="00FB1069">
      <w:pPr>
        <w:pStyle w:val="Textonotapie"/>
        <w:jc w:val="both"/>
        <w:rPr>
          <w:sz w:val="20"/>
          <w:szCs w:val="20"/>
          <w:lang w:val="en-GB"/>
        </w:rPr>
      </w:pPr>
      <w:r w:rsidRPr="00F84F26">
        <w:rPr>
          <w:rStyle w:val="FootnoteCharacters"/>
          <w:sz w:val="20"/>
          <w:szCs w:val="20"/>
        </w:rPr>
        <w:footnoteRef/>
      </w:r>
      <w:r>
        <w:rPr>
          <w:sz w:val="20"/>
          <w:szCs w:val="20"/>
          <w:lang w:val="en-GB"/>
        </w:rPr>
        <w:t xml:space="preserve"> </w:t>
      </w:r>
      <w:r w:rsidRPr="00FF3EB2">
        <w:rPr>
          <w:sz w:val="20"/>
          <w:szCs w:val="20"/>
          <w:lang w:val="en-GB"/>
        </w:rPr>
        <w:t>Aristotle says that the example goes from the part to the part (</w:t>
      </w:r>
      <w:r w:rsidRPr="00FF3EB2">
        <w:rPr>
          <w:i/>
          <w:sz w:val="20"/>
          <w:szCs w:val="20"/>
          <w:lang w:val="en-GB"/>
        </w:rPr>
        <w:t>Rh</w:t>
      </w:r>
      <w:r w:rsidRPr="00D70BB2">
        <w:rPr>
          <w:sz w:val="20"/>
          <w:szCs w:val="20"/>
          <w:lang w:val="en-GB"/>
        </w:rPr>
        <w:t>. 1357b26-30)</w:t>
      </w:r>
      <w:r>
        <w:rPr>
          <w:sz w:val="20"/>
          <w:szCs w:val="20"/>
          <w:lang w:val="en-GB"/>
        </w:rPr>
        <w:t xml:space="preserve">; this statement </w:t>
      </w:r>
      <w:r w:rsidRPr="00946E4F">
        <w:rPr>
          <w:sz w:val="20"/>
          <w:szCs w:val="20"/>
          <w:lang w:val="en-GB"/>
        </w:rPr>
        <w:t>disagrees with the definition of induction, which goes from the particular to the general (</w:t>
      </w:r>
      <w:r w:rsidRPr="003A54D5">
        <w:rPr>
          <w:i/>
          <w:sz w:val="20"/>
          <w:szCs w:val="20"/>
          <w:lang w:val="en-GB"/>
        </w:rPr>
        <w:t>Top</w:t>
      </w:r>
      <w:r w:rsidRPr="003A54D5">
        <w:rPr>
          <w:sz w:val="20"/>
          <w:szCs w:val="20"/>
          <w:lang w:val="en-GB"/>
        </w:rPr>
        <w:t xml:space="preserve">. 105a13-14). This is one of the differences between </w:t>
      </w:r>
      <w:r w:rsidRPr="003A54D5">
        <w:rPr>
          <w:i/>
          <w:sz w:val="20"/>
          <w:szCs w:val="20"/>
          <w:lang w:val="en-GB"/>
        </w:rPr>
        <w:t>paradeigma</w:t>
      </w:r>
      <w:r w:rsidRPr="003A54D5">
        <w:rPr>
          <w:sz w:val="20"/>
          <w:szCs w:val="20"/>
          <w:lang w:val="en-GB"/>
        </w:rPr>
        <w:t xml:space="preserve"> and induction (cf. note </w:t>
      </w:r>
      <w:r>
        <w:rPr>
          <w:sz w:val="20"/>
          <w:szCs w:val="20"/>
          <w:lang w:val="en-GB"/>
        </w:rPr>
        <w:t>34</w:t>
      </w:r>
      <w:r w:rsidRPr="003A54D5">
        <w:rPr>
          <w:sz w:val="20"/>
          <w:szCs w:val="20"/>
          <w:lang w:val="en-GB"/>
        </w:rPr>
        <w:t xml:space="preserve">). But, the reality is that, when Aristotle exemplifies the </w:t>
      </w:r>
      <w:r w:rsidRPr="003A54D5">
        <w:rPr>
          <w:i/>
          <w:sz w:val="20"/>
          <w:szCs w:val="20"/>
          <w:lang w:val="en-GB"/>
        </w:rPr>
        <w:t>paradeigma</w:t>
      </w:r>
      <w:r w:rsidRPr="003A54D5">
        <w:rPr>
          <w:sz w:val="20"/>
          <w:szCs w:val="20"/>
          <w:lang w:val="en-GB"/>
        </w:rPr>
        <w:t>, he finishes with a general sentence (</w:t>
      </w:r>
      <w:r w:rsidRPr="003A54D5">
        <w:rPr>
          <w:i/>
          <w:sz w:val="20"/>
          <w:szCs w:val="20"/>
          <w:lang w:val="en-GB"/>
        </w:rPr>
        <w:t>Rh</w:t>
      </w:r>
      <w:r w:rsidRPr="003A54D5">
        <w:rPr>
          <w:sz w:val="20"/>
          <w:szCs w:val="20"/>
          <w:lang w:val="en-GB"/>
        </w:rPr>
        <w:t xml:space="preserve">. 1357b35-36), which shows that in Aristotle the </w:t>
      </w:r>
      <w:r w:rsidRPr="003A54D5">
        <w:rPr>
          <w:rFonts w:ascii="GR Times New Roman" w:hAnsi="GR Times New Roman" w:cs="GR Times New Roman"/>
          <w:sz w:val="20"/>
          <w:szCs w:val="20"/>
          <w:lang w:val="el-GR"/>
        </w:rPr>
        <w:t>παράδειγμα</w:t>
      </w:r>
      <w:r w:rsidRPr="003A54D5">
        <w:rPr>
          <w:sz w:val="20"/>
          <w:szCs w:val="20"/>
          <w:lang w:val="en-GB"/>
        </w:rPr>
        <w:t xml:space="preserve"> goes, effectively, from the particular to the particular, but it makes it pass through the universal; cf. </w:t>
      </w:r>
      <w:r w:rsidRPr="00433AC3">
        <w:rPr>
          <w:sz w:val="20"/>
          <w:szCs w:val="20"/>
          <w:lang w:val="en-GB"/>
        </w:rPr>
        <w:t>Encinas Reguero</w:t>
      </w:r>
      <w:r w:rsidRPr="003A54D5">
        <w:rPr>
          <w:sz w:val="20"/>
          <w:szCs w:val="20"/>
          <w:lang w:val="en-GB"/>
        </w:rPr>
        <w:t xml:space="preserve"> </w:t>
      </w:r>
      <w:r>
        <w:rPr>
          <w:sz w:val="20"/>
          <w:szCs w:val="20"/>
          <w:lang w:val="en-GB"/>
        </w:rPr>
        <w:t>(</w:t>
      </w:r>
      <w:r w:rsidRPr="003A54D5">
        <w:rPr>
          <w:sz w:val="20"/>
          <w:szCs w:val="20"/>
          <w:lang w:val="en-GB"/>
        </w:rPr>
        <w:t>2017b</w:t>
      </w:r>
      <w:r>
        <w:rPr>
          <w:sz w:val="20"/>
          <w:szCs w:val="20"/>
          <w:lang w:val="en-GB"/>
        </w:rPr>
        <w:t>)</w:t>
      </w:r>
      <w:r w:rsidRPr="003A54D5">
        <w:rPr>
          <w:sz w:val="20"/>
          <w:szCs w:val="20"/>
          <w:lang w:val="en-GB"/>
        </w:rPr>
        <w:t xml:space="preserve"> 243-245.</w:t>
      </w:r>
    </w:p>
  </w:footnote>
  <w:footnote w:id="53">
    <w:p w:rsidR="00FB1069" w:rsidRPr="00F84F26" w:rsidRDefault="00FB1069">
      <w:pPr>
        <w:pStyle w:val="Textonotapie"/>
        <w:jc w:val="both"/>
        <w:rPr>
          <w:sz w:val="20"/>
          <w:szCs w:val="20"/>
          <w:lang w:val="en-GB"/>
        </w:rPr>
      </w:pPr>
      <w:r w:rsidRPr="00F84F26">
        <w:rPr>
          <w:rStyle w:val="FootnoteCharacters"/>
          <w:sz w:val="20"/>
          <w:szCs w:val="20"/>
        </w:rPr>
        <w:footnoteRef/>
      </w:r>
      <w:r>
        <w:rPr>
          <w:sz w:val="20"/>
          <w:szCs w:val="20"/>
          <w:lang w:val="en-GB"/>
        </w:rPr>
        <w:t xml:space="preserve"> </w:t>
      </w:r>
      <w:r w:rsidRPr="00FF3EB2">
        <w:rPr>
          <w:sz w:val="20"/>
          <w:szCs w:val="20"/>
          <w:lang w:val="en-GB"/>
        </w:rPr>
        <w:t xml:space="preserve">The sayings and events of the past can be an important argument. That is why Aristotle </w:t>
      </w:r>
      <w:r>
        <w:rPr>
          <w:sz w:val="20"/>
          <w:szCs w:val="20"/>
          <w:lang w:val="en-GB"/>
        </w:rPr>
        <w:t>recognises</w:t>
      </w:r>
      <w:r w:rsidRPr="00FF3EB2">
        <w:rPr>
          <w:sz w:val="20"/>
          <w:szCs w:val="20"/>
          <w:lang w:val="en-GB"/>
        </w:rPr>
        <w:t xml:space="preserve"> the relevance </w:t>
      </w:r>
      <w:r w:rsidRPr="00D70BB2">
        <w:rPr>
          <w:sz w:val="20"/>
          <w:szCs w:val="20"/>
          <w:lang w:val="en-GB"/>
        </w:rPr>
        <w:t xml:space="preserve">for the orator </w:t>
      </w:r>
      <w:r>
        <w:rPr>
          <w:sz w:val="20"/>
          <w:szCs w:val="20"/>
          <w:lang w:val="en-GB"/>
        </w:rPr>
        <w:t>of</w:t>
      </w:r>
      <w:r w:rsidRPr="00D70BB2">
        <w:rPr>
          <w:sz w:val="20"/>
          <w:szCs w:val="20"/>
          <w:lang w:val="en-GB"/>
        </w:rPr>
        <w:t xml:space="preserve"> knowing his</w:t>
      </w:r>
      <w:r w:rsidRPr="003A54D5">
        <w:rPr>
          <w:sz w:val="20"/>
          <w:szCs w:val="20"/>
          <w:lang w:val="en-GB"/>
        </w:rPr>
        <w:t xml:space="preserve"> history (</w:t>
      </w:r>
      <w:r w:rsidRPr="003A54D5">
        <w:rPr>
          <w:i/>
          <w:sz w:val="20"/>
          <w:szCs w:val="20"/>
          <w:lang w:val="en-GB"/>
        </w:rPr>
        <w:t>Rh</w:t>
      </w:r>
      <w:r w:rsidRPr="003A54D5">
        <w:rPr>
          <w:sz w:val="20"/>
          <w:szCs w:val="20"/>
          <w:lang w:val="en-GB"/>
        </w:rPr>
        <w:t>. 1.4, 1360a33-37).</w:t>
      </w:r>
    </w:p>
  </w:footnote>
  <w:footnote w:id="54">
    <w:p w:rsidR="00FB1069" w:rsidRPr="00F84F26" w:rsidRDefault="00FB1069">
      <w:pPr>
        <w:pStyle w:val="Textonotapie"/>
        <w:jc w:val="both"/>
        <w:rPr>
          <w:sz w:val="20"/>
          <w:szCs w:val="20"/>
          <w:lang w:val="en-GB"/>
        </w:rPr>
      </w:pPr>
      <w:r w:rsidRPr="00F84F26">
        <w:rPr>
          <w:rStyle w:val="FootnoteCharacters"/>
          <w:sz w:val="20"/>
          <w:szCs w:val="20"/>
        </w:rPr>
        <w:footnoteRef/>
      </w:r>
      <w:r>
        <w:rPr>
          <w:sz w:val="20"/>
          <w:szCs w:val="20"/>
          <w:lang w:val="en-GB"/>
        </w:rPr>
        <w:t xml:space="preserve"> </w:t>
      </w:r>
      <w:r w:rsidRPr="00FF3EB2">
        <w:rPr>
          <w:sz w:val="20"/>
          <w:szCs w:val="20"/>
          <w:lang w:val="en-GB"/>
        </w:rPr>
        <w:t xml:space="preserve">On the parable, cf. note </w:t>
      </w:r>
      <w:r>
        <w:rPr>
          <w:sz w:val="20"/>
          <w:szCs w:val="20"/>
          <w:lang w:val="en-GB"/>
        </w:rPr>
        <w:t>36</w:t>
      </w:r>
      <w:r w:rsidRPr="00FF3EB2">
        <w:rPr>
          <w:sz w:val="20"/>
          <w:szCs w:val="20"/>
          <w:lang w:val="en-GB"/>
        </w:rPr>
        <w:t>.</w:t>
      </w:r>
    </w:p>
  </w:footnote>
  <w:footnote w:id="55">
    <w:p w:rsidR="00FB1069" w:rsidRPr="00F84F26" w:rsidRDefault="00FB1069">
      <w:pPr>
        <w:pStyle w:val="Textonotapie"/>
        <w:jc w:val="both"/>
        <w:rPr>
          <w:sz w:val="20"/>
          <w:szCs w:val="20"/>
          <w:lang w:val="en-GB"/>
        </w:rPr>
      </w:pPr>
      <w:r w:rsidRPr="00F84F26">
        <w:rPr>
          <w:rStyle w:val="FootnoteCharacters"/>
          <w:sz w:val="20"/>
          <w:szCs w:val="20"/>
        </w:rPr>
        <w:footnoteRef/>
      </w:r>
      <w:r>
        <w:rPr>
          <w:sz w:val="20"/>
          <w:szCs w:val="20"/>
          <w:lang w:val="en-GB"/>
        </w:rPr>
        <w:t xml:space="preserve"> According to Webb</w:t>
      </w:r>
      <w:r w:rsidRPr="00FF3EB2">
        <w:rPr>
          <w:sz w:val="20"/>
          <w:szCs w:val="20"/>
          <w:lang w:val="en-GB"/>
        </w:rPr>
        <w:t xml:space="preserve"> </w:t>
      </w:r>
      <w:r>
        <w:rPr>
          <w:sz w:val="20"/>
          <w:szCs w:val="20"/>
          <w:lang w:val="en-GB"/>
        </w:rPr>
        <w:t>(</w:t>
      </w:r>
      <w:r w:rsidRPr="00FF3EB2">
        <w:rPr>
          <w:sz w:val="20"/>
          <w:szCs w:val="20"/>
          <w:lang w:val="en-GB"/>
        </w:rPr>
        <w:t>2001</w:t>
      </w:r>
      <w:r>
        <w:rPr>
          <w:sz w:val="20"/>
          <w:szCs w:val="20"/>
          <w:lang w:val="en-GB"/>
        </w:rPr>
        <w:t>)</w:t>
      </w:r>
      <w:r w:rsidRPr="00FF3EB2">
        <w:rPr>
          <w:sz w:val="20"/>
          <w:szCs w:val="20"/>
          <w:lang w:val="en-GB"/>
        </w:rPr>
        <w:t xml:space="preserve"> 301, “While historical themes were common in declamation, at this earlier stage [</w:t>
      </w:r>
      <w:r w:rsidRPr="00FF3EB2">
        <w:rPr>
          <w:i/>
          <w:sz w:val="20"/>
          <w:szCs w:val="20"/>
          <w:lang w:val="en-GB"/>
        </w:rPr>
        <w:t>progymnásmata</w:t>
      </w:r>
      <w:r w:rsidRPr="00D70BB2">
        <w:rPr>
          <w:sz w:val="20"/>
          <w:szCs w:val="20"/>
          <w:lang w:val="en-GB"/>
        </w:rPr>
        <w:t>] students made more use of the mythological figures and narratives which were synonymous with poetry”.</w:t>
      </w:r>
    </w:p>
  </w:footnote>
  <w:footnote w:id="56">
    <w:p w:rsidR="00FB1069" w:rsidRPr="00F84F26" w:rsidRDefault="00FB1069">
      <w:pPr>
        <w:pStyle w:val="Textonotapie"/>
        <w:jc w:val="both"/>
        <w:rPr>
          <w:sz w:val="20"/>
          <w:szCs w:val="20"/>
          <w:lang w:val="en-GB"/>
        </w:rPr>
      </w:pPr>
      <w:r w:rsidRPr="00F84F26">
        <w:rPr>
          <w:rStyle w:val="FootnoteCharacters"/>
          <w:sz w:val="20"/>
          <w:szCs w:val="20"/>
        </w:rPr>
        <w:footnoteRef/>
      </w:r>
      <w:r>
        <w:rPr>
          <w:sz w:val="20"/>
          <w:szCs w:val="20"/>
          <w:lang w:val="en-GB"/>
        </w:rPr>
        <w:t xml:space="preserve"> </w:t>
      </w:r>
      <w:r w:rsidRPr="00FF3EB2">
        <w:rPr>
          <w:sz w:val="20"/>
          <w:szCs w:val="20"/>
          <w:lang w:val="en-GB"/>
        </w:rPr>
        <w:t xml:space="preserve">As </w:t>
      </w:r>
      <w:r w:rsidRPr="00D723CC">
        <w:rPr>
          <w:sz w:val="20"/>
          <w:szCs w:val="20"/>
          <w:lang w:val="en-GB"/>
        </w:rPr>
        <w:t>Webb</w:t>
      </w:r>
      <w:r w:rsidRPr="00FF3EB2">
        <w:rPr>
          <w:sz w:val="20"/>
          <w:szCs w:val="20"/>
          <w:lang w:val="en-GB"/>
        </w:rPr>
        <w:t xml:space="preserve"> </w:t>
      </w:r>
      <w:r>
        <w:rPr>
          <w:sz w:val="20"/>
          <w:szCs w:val="20"/>
          <w:lang w:val="en-GB"/>
        </w:rPr>
        <w:t>(</w:t>
      </w:r>
      <w:r w:rsidRPr="00FF3EB2">
        <w:rPr>
          <w:sz w:val="20"/>
          <w:szCs w:val="20"/>
          <w:lang w:val="en-GB"/>
        </w:rPr>
        <w:t>1997</w:t>
      </w:r>
      <w:r>
        <w:rPr>
          <w:sz w:val="20"/>
          <w:szCs w:val="20"/>
          <w:lang w:val="en-GB"/>
        </w:rPr>
        <w:t>)</w:t>
      </w:r>
      <w:r w:rsidRPr="00FF3EB2">
        <w:rPr>
          <w:sz w:val="20"/>
          <w:szCs w:val="20"/>
          <w:lang w:val="en-GB"/>
        </w:rPr>
        <w:t xml:space="preserve"> 344-345, explains, a form of </w:t>
      </w:r>
      <w:r w:rsidRPr="00D70BB2">
        <w:rPr>
          <w:i/>
          <w:sz w:val="20"/>
          <w:szCs w:val="20"/>
          <w:lang w:val="en-GB"/>
        </w:rPr>
        <w:t>mimesis</w:t>
      </w:r>
      <w:r w:rsidRPr="00D70BB2">
        <w:rPr>
          <w:sz w:val="20"/>
          <w:szCs w:val="20"/>
          <w:lang w:val="en-GB"/>
        </w:rPr>
        <w:t xml:space="preserve"> shared by poetry and rhetoric is the representation of a person, action or place through the narrative or description. So, the idea of </w:t>
      </w:r>
      <w:r w:rsidRPr="00D70BB2">
        <w:rPr>
          <w:i/>
          <w:sz w:val="20"/>
          <w:szCs w:val="20"/>
          <w:lang w:val="en-GB"/>
        </w:rPr>
        <w:t>enargeia</w:t>
      </w:r>
      <w:r w:rsidRPr="00D70BB2">
        <w:rPr>
          <w:sz w:val="20"/>
          <w:szCs w:val="20"/>
          <w:lang w:val="en-GB"/>
        </w:rPr>
        <w:t xml:space="preserve"> acquires an important role in the </w:t>
      </w:r>
      <w:r w:rsidRPr="00946E4F">
        <w:rPr>
          <w:sz w:val="20"/>
          <w:szCs w:val="20"/>
          <w:lang w:val="en-GB"/>
        </w:rPr>
        <w:t>H</w:t>
      </w:r>
      <w:r w:rsidRPr="003A54D5">
        <w:rPr>
          <w:sz w:val="20"/>
          <w:szCs w:val="20"/>
          <w:lang w:val="en-GB"/>
        </w:rPr>
        <w:t xml:space="preserve">ellenistic and Roman rhetorical theory. But Longinus is the only one who suggests a difference between the use of </w:t>
      </w:r>
      <w:r w:rsidRPr="003A54D5">
        <w:rPr>
          <w:i/>
          <w:sz w:val="20"/>
          <w:szCs w:val="20"/>
          <w:lang w:val="en-GB"/>
        </w:rPr>
        <w:t>phantasia</w:t>
      </w:r>
      <w:r w:rsidRPr="003A54D5">
        <w:rPr>
          <w:sz w:val="20"/>
          <w:szCs w:val="20"/>
          <w:lang w:val="en-GB"/>
        </w:rPr>
        <w:t xml:space="preserve"> in poetry and in rhetoric. In poetry the result is one of </w:t>
      </w:r>
      <w:r w:rsidRPr="00A21F2C">
        <w:rPr>
          <w:sz w:val="20"/>
          <w:szCs w:val="20"/>
          <w:lang w:val="en-GB"/>
        </w:rPr>
        <w:t>asto</w:t>
      </w:r>
      <w:r w:rsidRPr="003C7826">
        <w:rPr>
          <w:sz w:val="20"/>
          <w:szCs w:val="20"/>
          <w:lang w:val="en-GB"/>
        </w:rPr>
        <w:t>nishment, that is, the impact on the audience, while the rhetor looks for cl</w:t>
      </w:r>
      <w:r w:rsidRPr="00F84F26">
        <w:rPr>
          <w:sz w:val="20"/>
          <w:szCs w:val="20"/>
          <w:lang w:val="en-GB"/>
        </w:rPr>
        <w:t xml:space="preserve">arity, which, combined with argumentation, produces persuasion (Pseudo-Longinus, </w:t>
      </w:r>
      <w:r w:rsidRPr="00D733B4">
        <w:rPr>
          <w:i/>
          <w:sz w:val="20"/>
          <w:szCs w:val="20"/>
          <w:lang w:val="en-GB"/>
        </w:rPr>
        <w:t>On the Sublime</w:t>
      </w:r>
      <w:r w:rsidRPr="00D733B4">
        <w:rPr>
          <w:sz w:val="20"/>
          <w:szCs w:val="20"/>
          <w:lang w:val="en-GB"/>
        </w:rPr>
        <w:t xml:space="preserve"> 15.2 y 15.9). On the relation between poetry and rhetoric, cf. </w:t>
      </w:r>
      <w:r w:rsidRPr="00D723CC">
        <w:rPr>
          <w:sz w:val="20"/>
          <w:szCs w:val="20"/>
          <w:lang w:val="en-GB"/>
        </w:rPr>
        <w:t>Webb</w:t>
      </w:r>
      <w:r w:rsidRPr="00D733B4">
        <w:rPr>
          <w:sz w:val="20"/>
          <w:szCs w:val="20"/>
          <w:lang w:val="en-GB"/>
        </w:rPr>
        <w:t xml:space="preserve"> </w:t>
      </w:r>
      <w:r>
        <w:rPr>
          <w:sz w:val="20"/>
          <w:szCs w:val="20"/>
          <w:lang w:val="en-GB"/>
        </w:rPr>
        <w:t>(</w:t>
      </w:r>
      <w:r w:rsidRPr="00D733B4">
        <w:rPr>
          <w:sz w:val="20"/>
          <w:szCs w:val="20"/>
          <w:lang w:val="en-GB"/>
        </w:rPr>
        <w:t>1997</w:t>
      </w:r>
      <w:r>
        <w:rPr>
          <w:sz w:val="20"/>
          <w:szCs w:val="20"/>
          <w:lang w:val="en-GB"/>
        </w:rPr>
        <w:t>)</w:t>
      </w:r>
      <w:r w:rsidRPr="00D733B4">
        <w:rPr>
          <w:sz w:val="20"/>
          <w:szCs w:val="20"/>
          <w:lang w:val="en-GB"/>
        </w:rPr>
        <w:t>.</w:t>
      </w:r>
    </w:p>
  </w:footnote>
  <w:footnote w:id="57">
    <w:p w:rsidR="00FB1069" w:rsidRPr="003E42D1" w:rsidRDefault="00FB1069">
      <w:pPr>
        <w:pStyle w:val="Textonotapie"/>
        <w:jc w:val="both"/>
        <w:rPr>
          <w:sz w:val="20"/>
          <w:szCs w:val="20"/>
          <w:lang w:val="en-GB"/>
        </w:rPr>
      </w:pPr>
      <w:r w:rsidRPr="003E42D1">
        <w:rPr>
          <w:rStyle w:val="FootnoteCharacters"/>
          <w:sz w:val="20"/>
          <w:szCs w:val="20"/>
        </w:rPr>
        <w:footnoteRef/>
      </w:r>
      <w:r>
        <w:rPr>
          <w:sz w:val="20"/>
          <w:szCs w:val="20"/>
          <w:lang w:val="en-GB"/>
        </w:rPr>
        <w:t xml:space="preserve"> </w:t>
      </w:r>
      <w:r w:rsidRPr="00FF3EB2">
        <w:rPr>
          <w:sz w:val="20"/>
          <w:szCs w:val="20"/>
          <w:lang w:val="en-GB"/>
        </w:rPr>
        <w:t xml:space="preserve">Cf. </w:t>
      </w:r>
      <w:r>
        <w:rPr>
          <w:sz w:val="20"/>
          <w:szCs w:val="20"/>
          <w:lang w:val="en-GB"/>
        </w:rPr>
        <w:t>Perelman and</w:t>
      </w:r>
      <w:r w:rsidRPr="008E5C81">
        <w:rPr>
          <w:sz w:val="20"/>
          <w:szCs w:val="20"/>
          <w:lang w:val="en-GB"/>
        </w:rPr>
        <w:t xml:space="preserve"> Olbrechts-Tyteca</w:t>
      </w:r>
      <w:r w:rsidRPr="00D70BB2">
        <w:rPr>
          <w:sz w:val="20"/>
          <w:szCs w:val="20"/>
          <w:lang w:val="en-GB"/>
        </w:rPr>
        <w:t xml:space="preserve"> </w:t>
      </w:r>
      <w:r>
        <w:rPr>
          <w:sz w:val="20"/>
          <w:szCs w:val="20"/>
          <w:lang w:val="en-GB"/>
        </w:rPr>
        <w:t>(</w:t>
      </w:r>
      <w:r w:rsidRPr="00D70BB2">
        <w:rPr>
          <w:sz w:val="20"/>
          <w:szCs w:val="20"/>
          <w:lang w:val="en-GB"/>
        </w:rPr>
        <w:t>1989</w:t>
      </w:r>
      <w:r>
        <w:rPr>
          <w:sz w:val="20"/>
          <w:szCs w:val="20"/>
          <w:lang w:val="en-GB"/>
        </w:rPr>
        <w:t>)</w:t>
      </w:r>
      <w:r w:rsidRPr="00D70BB2">
        <w:rPr>
          <w:sz w:val="20"/>
          <w:szCs w:val="20"/>
          <w:lang w:val="en-GB"/>
        </w:rPr>
        <w:t xml:space="preserve"> 350.</w:t>
      </w:r>
    </w:p>
  </w:footnote>
  <w:footnote w:id="58">
    <w:p w:rsidR="00FB1069" w:rsidRPr="003E42D1" w:rsidRDefault="00FB1069">
      <w:pPr>
        <w:pStyle w:val="Textonotapie"/>
        <w:jc w:val="both"/>
        <w:rPr>
          <w:sz w:val="20"/>
          <w:szCs w:val="20"/>
          <w:lang w:val="en-GB"/>
        </w:rPr>
      </w:pPr>
      <w:r w:rsidRPr="003E42D1">
        <w:rPr>
          <w:rStyle w:val="FootnoteCharacters"/>
          <w:sz w:val="20"/>
          <w:szCs w:val="20"/>
        </w:rPr>
        <w:footnoteRef/>
      </w:r>
      <w:r>
        <w:rPr>
          <w:sz w:val="20"/>
          <w:szCs w:val="20"/>
          <w:lang w:val="en-GB"/>
        </w:rPr>
        <w:t xml:space="preserve"> </w:t>
      </w:r>
      <w:r w:rsidRPr="00FF3EB2">
        <w:rPr>
          <w:sz w:val="20"/>
          <w:szCs w:val="20"/>
          <w:lang w:val="en-GB"/>
        </w:rPr>
        <w:t xml:space="preserve">On the medieval </w:t>
      </w:r>
      <w:r w:rsidRPr="00FF3EB2">
        <w:rPr>
          <w:i/>
          <w:sz w:val="20"/>
          <w:szCs w:val="20"/>
          <w:lang w:val="en-GB"/>
        </w:rPr>
        <w:t>exemplum</w:t>
      </w:r>
      <w:r w:rsidRPr="00FF3EB2">
        <w:rPr>
          <w:sz w:val="20"/>
          <w:szCs w:val="20"/>
          <w:lang w:val="en-GB"/>
        </w:rPr>
        <w:t>, see the summary</w:t>
      </w:r>
      <w:r>
        <w:rPr>
          <w:sz w:val="20"/>
          <w:szCs w:val="20"/>
          <w:lang w:val="en-GB"/>
        </w:rPr>
        <w:t xml:space="preserve"> of</w:t>
      </w:r>
      <w:r w:rsidRPr="00FF3EB2">
        <w:rPr>
          <w:sz w:val="20"/>
          <w:szCs w:val="20"/>
          <w:lang w:val="en-GB"/>
        </w:rPr>
        <w:t xml:space="preserve"> </w:t>
      </w:r>
      <w:r w:rsidRPr="008E5C81">
        <w:rPr>
          <w:sz w:val="20"/>
          <w:szCs w:val="20"/>
          <w:lang w:val="en-GB"/>
        </w:rPr>
        <w:t>Demoen</w:t>
      </w:r>
      <w:r w:rsidRPr="00FF3EB2">
        <w:rPr>
          <w:sz w:val="20"/>
          <w:szCs w:val="20"/>
          <w:lang w:val="en-GB"/>
        </w:rPr>
        <w:t xml:space="preserve"> </w:t>
      </w:r>
      <w:r>
        <w:rPr>
          <w:sz w:val="20"/>
          <w:szCs w:val="20"/>
          <w:lang w:val="en-GB"/>
        </w:rPr>
        <w:t>(</w:t>
      </w:r>
      <w:r w:rsidRPr="00FF3EB2">
        <w:rPr>
          <w:sz w:val="20"/>
          <w:szCs w:val="20"/>
          <w:lang w:val="en-GB"/>
        </w:rPr>
        <w:t>1996</w:t>
      </w:r>
      <w:r>
        <w:rPr>
          <w:sz w:val="20"/>
          <w:szCs w:val="20"/>
          <w:lang w:val="en-GB"/>
        </w:rPr>
        <w:t>)</w:t>
      </w:r>
      <w:r w:rsidRPr="00FF3EB2">
        <w:rPr>
          <w:sz w:val="20"/>
          <w:szCs w:val="20"/>
          <w:lang w:val="en-GB"/>
        </w:rPr>
        <w:t xml:space="preserve"> 54-55.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069" w:rsidRDefault="00FB1069">
    <w:pPr>
      <w:pStyle w:val="Encabezado"/>
      <w:jc w:val="right"/>
    </w:pPr>
    <w:r>
      <w:rPr>
        <w:rStyle w:val="Nmerodepgina"/>
        <w:sz w:val="22"/>
        <w:szCs w:val="22"/>
      </w:rPr>
      <w:fldChar w:fldCharType="begin"/>
    </w:r>
    <w:r>
      <w:rPr>
        <w:rStyle w:val="Nmerodepgina"/>
        <w:sz w:val="22"/>
        <w:szCs w:val="22"/>
      </w:rPr>
      <w:instrText xml:space="preserve"> </w:instrText>
    </w:r>
    <w:r w:rsidR="00981A24">
      <w:rPr>
        <w:rStyle w:val="Nmerodepgina"/>
        <w:sz w:val="22"/>
        <w:szCs w:val="22"/>
      </w:rPr>
      <w:instrText>PAGE</w:instrText>
    </w:r>
    <w:r>
      <w:rPr>
        <w:rStyle w:val="Nmerodepgina"/>
        <w:sz w:val="22"/>
        <w:szCs w:val="22"/>
      </w:rPr>
      <w:instrText xml:space="preserve"> </w:instrText>
    </w:r>
    <w:r>
      <w:rPr>
        <w:rStyle w:val="Nmerodepgina"/>
        <w:sz w:val="22"/>
        <w:szCs w:val="22"/>
      </w:rPr>
      <w:fldChar w:fldCharType="separate"/>
    </w:r>
    <w:r w:rsidR="004A1049">
      <w:rPr>
        <w:rStyle w:val="Nmerodepgina"/>
        <w:noProof/>
        <w:sz w:val="22"/>
        <w:szCs w:val="22"/>
      </w:rPr>
      <w:t>1</w:t>
    </w:r>
    <w:r>
      <w:rPr>
        <w:rStyle w:val="Nmerodepgina"/>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2F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52113120">
    <w:abstractNumId w:val="1"/>
  </w:num>
  <w:num w:numId="2" w16cid:durableId="32914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es-ES" w:vendorID="64" w:dllVersion="131078" w:nlCheck="1" w:checkStyle="1"/>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fr-FR" w:vendorID="64" w:dllVersion="4096" w:nlCheck="1" w:checkStyle="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87"/>
    <w:rsid w:val="000158A1"/>
    <w:rsid w:val="0002200C"/>
    <w:rsid w:val="00022B22"/>
    <w:rsid w:val="00033FBD"/>
    <w:rsid w:val="00045C78"/>
    <w:rsid w:val="00050E3E"/>
    <w:rsid w:val="000517D1"/>
    <w:rsid w:val="00054F2B"/>
    <w:rsid w:val="00082E06"/>
    <w:rsid w:val="000A159C"/>
    <w:rsid w:val="000A56C2"/>
    <w:rsid w:val="000B6FEB"/>
    <w:rsid w:val="000D073F"/>
    <w:rsid w:val="000D57A2"/>
    <w:rsid w:val="000D7B19"/>
    <w:rsid w:val="000E51D8"/>
    <w:rsid w:val="000F5E09"/>
    <w:rsid w:val="00103478"/>
    <w:rsid w:val="0012613D"/>
    <w:rsid w:val="00127C18"/>
    <w:rsid w:val="00130D5B"/>
    <w:rsid w:val="00131F3F"/>
    <w:rsid w:val="00143818"/>
    <w:rsid w:val="001443D3"/>
    <w:rsid w:val="00160301"/>
    <w:rsid w:val="0016461C"/>
    <w:rsid w:val="00166D9B"/>
    <w:rsid w:val="001707F7"/>
    <w:rsid w:val="00173184"/>
    <w:rsid w:val="001764F3"/>
    <w:rsid w:val="00186454"/>
    <w:rsid w:val="001928C9"/>
    <w:rsid w:val="00195C6A"/>
    <w:rsid w:val="001B2356"/>
    <w:rsid w:val="001B3697"/>
    <w:rsid w:val="001B3E82"/>
    <w:rsid w:val="001B6EAA"/>
    <w:rsid w:val="001D2C66"/>
    <w:rsid w:val="001D591D"/>
    <w:rsid w:val="001D5D26"/>
    <w:rsid w:val="001D78F0"/>
    <w:rsid w:val="001E7198"/>
    <w:rsid w:val="001F0514"/>
    <w:rsid w:val="001F0B7B"/>
    <w:rsid w:val="002060F5"/>
    <w:rsid w:val="00207ED1"/>
    <w:rsid w:val="0022111E"/>
    <w:rsid w:val="0022547C"/>
    <w:rsid w:val="002376FB"/>
    <w:rsid w:val="00246D82"/>
    <w:rsid w:val="0025498B"/>
    <w:rsid w:val="00271896"/>
    <w:rsid w:val="00271DD3"/>
    <w:rsid w:val="00274512"/>
    <w:rsid w:val="00276A62"/>
    <w:rsid w:val="002820E7"/>
    <w:rsid w:val="00296DE7"/>
    <w:rsid w:val="002B4640"/>
    <w:rsid w:val="002C2435"/>
    <w:rsid w:val="002C2AB2"/>
    <w:rsid w:val="002D0940"/>
    <w:rsid w:val="002E32B9"/>
    <w:rsid w:val="002F6599"/>
    <w:rsid w:val="0030728A"/>
    <w:rsid w:val="00314466"/>
    <w:rsid w:val="00320A4C"/>
    <w:rsid w:val="00327CCE"/>
    <w:rsid w:val="00331ED9"/>
    <w:rsid w:val="00340505"/>
    <w:rsid w:val="003437C1"/>
    <w:rsid w:val="00356483"/>
    <w:rsid w:val="00363334"/>
    <w:rsid w:val="00364C87"/>
    <w:rsid w:val="00364EE5"/>
    <w:rsid w:val="003664D9"/>
    <w:rsid w:val="00367762"/>
    <w:rsid w:val="0037671D"/>
    <w:rsid w:val="00387F18"/>
    <w:rsid w:val="00391588"/>
    <w:rsid w:val="00394FC0"/>
    <w:rsid w:val="003A083F"/>
    <w:rsid w:val="003A54D5"/>
    <w:rsid w:val="003B1B4E"/>
    <w:rsid w:val="003B75EA"/>
    <w:rsid w:val="003C01D9"/>
    <w:rsid w:val="003C2B9F"/>
    <w:rsid w:val="003C4EFD"/>
    <w:rsid w:val="003C7826"/>
    <w:rsid w:val="003D1CF7"/>
    <w:rsid w:val="003E0862"/>
    <w:rsid w:val="003E0CA3"/>
    <w:rsid w:val="003E28B6"/>
    <w:rsid w:val="003E42D1"/>
    <w:rsid w:val="003E6EAF"/>
    <w:rsid w:val="004112BB"/>
    <w:rsid w:val="00413141"/>
    <w:rsid w:val="0041749C"/>
    <w:rsid w:val="00433AC3"/>
    <w:rsid w:val="00442720"/>
    <w:rsid w:val="004470B2"/>
    <w:rsid w:val="004470E1"/>
    <w:rsid w:val="00447BF1"/>
    <w:rsid w:val="004579FF"/>
    <w:rsid w:val="00462F84"/>
    <w:rsid w:val="00467198"/>
    <w:rsid w:val="00486459"/>
    <w:rsid w:val="004867A2"/>
    <w:rsid w:val="00491F82"/>
    <w:rsid w:val="004945D1"/>
    <w:rsid w:val="004A1049"/>
    <w:rsid w:val="004A12FD"/>
    <w:rsid w:val="004A7097"/>
    <w:rsid w:val="004C072F"/>
    <w:rsid w:val="004D02E4"/>
    <w:rsid w:val="004E314D"/>
    <w:rsid w:val="004F2AF6"/>
    <w:rsid w:val="004F4244"/>
    <w:rsid w:val="00505E63"/>
    <w:rsid w:val="005117F0"/>
    <w:rsid w:val="0052090F"/>
    <w:rsid w:val="00532E24"/>
    <w:rsid w:val="005362CF"/>
    <w:rsid w:val="005414CC"/>
    <w:rsid w:val="00543E76"/>
    <w:rsid w:val="00552A6B"/>
    <w:rsid w:val="00557F95"/>
    <w:rsid w:val="005836EF"/>
    <w:rsid w:val="00584B67"/>
    <w:rsid w:val="005912ED"/>
    <w:rsid w:val="005A088B"/>
    <w:rsid w:val="005B4C09"/>
    <w:rsid w:val="005C03B8"/>
    <w:rsid w:val="005C0620"/>
    <w:rsid w:val="0061068A"/>
    <w:rsid w:val="006235AE"/>
    <w:rsid w:val="006264F3"/>
    <w:rsid w:val="00636088"/>
    <w:rsid w:val="00641868"/>
    <w:rsid w:val="00653302"/>
    <w:rsid w:val="006559BE"/>
    <w:rsid w:val="00673328"/>
    <w:rsid w:val="006739A5"/>
    <w:rsid w:val="006B51BE"/>
    <w:rsid w:val="006C18D2"/>
    <w:rsid w:val="006C76AD"/>
    <w:rsid w:val="006D31F8"/>
    <w:rsid w:val="006F2270"/>
    <w:rsid w:val="006F5180"/>
    <w:rsid w:val="006F7DC6"/>
    <w:rsid w:val="0070736E"/>
    <w:rsid w:val="00707F07"/>
    <w:rsid w:val="007106CF"/>
    <w:rsid w:val="00710AF8"/>
    <w:rsid w:val="007116BF"/>
    <w:rsid w:val="0073174C"/>
    <w:rsid w:val="00746448"/>
    <w:rsid w:val="0074746B"/>
    <w:rsid w:val="007529DB"/>
    <w:rsid w:val="0075546E"/>
    <w:rsid w:val="00756B10"/>
    <w:rsid w:val="007573D4"/>
    <w:rsid w:val="007574BE"/>
    <w:rsid w:val="00767339"/>
    <w:rsid w:val="00777719"/>
    <w:rsid w:val="00786676"/>
    <w:rsid w:val="00793F4F"/>
    <w:rsid w:val="007A39D4"/>
    <w:rsid w:val="007B03CD"/>
    <w:rsid w:val="007C5641"/>
    <w:rsid w:val="007D4189"/>
    <w:rsid w:val="007D6FC3"/>
    <w:rsid w:val="007E56A9"/>
    <w:rsid w:val="007F042F"/>
    <w:rsid w:val="007F2473"/>
    <w:rsid w:val="0080767B"/>
    <w:rsid w:val="00811320"/>
    <w:rsid w:val="00812A05"/>
    <w:rsid w:val="0081587B"/>
    <w:rsid w:val="00816117"/>
    <w:rsid w:val="00822A3B"/>
    <w:rsid w:val="0082306B"/>
    <w:rsid w:val="00823781"/>
    <w:rsid w:val="008335B9"/>
    <w:rsid w:val="00863D36"/>
    <w:rsid w:val="00873275"/>
    <w:rsid w:val="008763CA"/>
    <w:rsid w:val="0088099A"/>
    <w:rsid w:val="0088277D"/>
    <w:rsid w:val="00883356"/>
    <w:rsid w:val="008939E0"/>
    <w:rsid w:val="0089601C"/>
    <w:rsid w:val="008A03CD"/>
    <w:rsid w:val="008A471E"/>
    <w:rsid w:val="008B3C64"/>
    <w:rsid w:val="008B49D5"/>
    <w:rsid w:val="008D5678"/>
    <w:rsid w:val="008D6B56"/>
    <w:rsid w:val="008E1546"/>
    <w:rsid w:val="008E5C81"/>
    <w:rsid w:val="008E75D9"/>
    <w:rsid w:val="008F58A2"/>
    <w:rsid w:val="009104DE"/>
    <w:rsid w:val="0091155E"/>
    <w:rsid w:val="0091204C"/>
    <w:rsid w:val="00915E1B"/>
    <w:rsid w:val="00935261"/>
    <w:rsid w:val="00937BDC"/>
    <w:rsid w:val="00940DFF"/>
    <w:rsid w:val="00945FB6"/>
    <w:rsid w:val="00946E4F"/>
    <w:rsid w:val="00973A7A"/>
    <w:rsid w:val="00981A24"/>
    <w:rsid w:val="00982178"/>
    <w:rsid w:val="00992E93"/>
    <w:rsid w:val="00995EB7"/>
    <w:rsid w:val="009A12DC"/>
    <w:rsid w:val="009C5EC5"/>
    <w:rsid w:val="009D3B77"/>
    <w:rsid w:val="009E087C"/>
    <w:rsid w:val="009E3788"/>
    <w:rsid w:val="009E5173"/>
    <w:rsid w:val="00A00D61"/>
    <w:rsid w:val="00A03598"/>
    <w:rsid w:val="00A0529A"/>
    <w:rsid w:val="00A1468C"/>
    <w:rsid w:val="00A15A54"/>
    <w:rsid w:val="00A16129"/>
    <w:rsid w:val="00A20912"/>
    <w:rsid w:val="00A21F2C"/>
    <w:rsid w:val="00A30E19"/>
    <w:rsid w:val="00A3791C"/>
    <w:rsid w:val="00A45F0F"/>
    <w:rsid w:val="00A54D47"/>
    <w:rsid w:val="00A55087"/>
    <w:rsid w:val="00A554D7"/>
    <w:rsid w:val="00A5617D"/>
    <w:rsid w:val="00A60A47"/>
    <w:rsid w:val="00A72610"/>
    <w:rsid w:val="00A7733D"/>
    <w:rsid w:val="00A849B1"/>
    <w:rsid w:val="00A92A2C"/>
    <w:rsid w:val="00AB0B71"/>
    <w:rsid w:val="00AB475E"/>
    <w:rsid w:val="00AC7A40"/>
    <w:rsid w:val="00AE6F54"/>
    <w:rsid w:val="00AE758C"/>
    <w:rsid w:val="00AF5D1B"/>
    <w:rsid w:val="00B1036C"/>
    <w:rsid w:val="00B10458"/>
    <w:rsid w:val="00B30380"/>
    <w:rsid w:val="00B35539"/>
    <w:rsid w:val="00B6409A"/>
    <w:rsid w:val="00B72370"/>
    <w:rsid w:val="00B75524"/>
    <w:rsid w:val="00B855D9"/>
    <w:rsid w:val="00B96071"/>
    <w:rsid w:val="00BA366F"/>
    <w:rsid w:val="00BB35B8"/>
    <w:rsid w:val="00BB4283"/>
    <w:rsid w:val="00BE0048"/>
    <w:rsid w:val="00BE30D2"/>
    <w:rsid w:val="00C0354B"/>
    <w:rsid w:val="00C129F3"/>
    <w:rsid w:val="00C16567"/>
    <w:rsid w:val="00C175C3"/>
    <w:rsid w:val="00C271A7"/>
    <w:rsid w:val="00C3056A"/>
    <w:rsid w:val="00C66D2C"/>
    <w:rsid w:val="00C71905"/>
    <w:rsid w:val="00C82D73"/>
    <w:rsid w:val="00C94A78"/>
    <w:rsid w:val="00CA00C9"/>
    <w:rsid w:val="00CA09AB"/>
    <w:rsid w:val="00CA7481"/>
    <w:rsid w:val="00CB2BC5"/>
    <w:rsid w:val="00CC134F"/>
    <w:rsid w:val="00CC3644"/>
    <w:rsid w:val="00CC46A9"/>
    <w:rsid w:val="00CC6CD3"/>
    <w:rsid w:val="00CC740E"/>
    <w:rsid w:val="00CD0CEB"/>
    <w:rsid w:val="00CE1D71"/>
    <w:rsid w:val="00CE2040"/>
    <w:rsid w:val="00CE3FCF"/>
    <w:rsid w:val="00CE441C"/>
    <w:rsid w:val="00CE5D10"/>
    <w:rsid w:val="00CF4A5B"/>
    <w:rsid w:val="00D01C7A"/>
    <w:rsid w:val="00D24EF1"/>
    <w:rsid w:val="00D41103"/>
    <w:rsid w:val="00D46B1C"/>
    <w:rsid w:val="00D66244"/>
    <w:rsid w:val="00D66499"/>
    <w:rsid w:val="00D6703E"/>
    <w:rsid w:val="00D67832"/>
    <w:rsid w:val="00D70BB2"/>
    <w:rsid w:val="00D723CC"/>
    <w:rsid w:val="00D733B4"/>
    <w:rsid w:val="00D75AE4"/>
    <w:rsid w:val="00D82BC1"/>
    <w:rsid w:val="00D94E59"/>
    <w:rsid w:val="00D95C1A"/>
    <w:rsid w:val="00DB11AE"/>
    <w:rsid w:val="00DC59AE"/>
    <w:rsid w:val="00DC634A"/>
    <w:rsid w:val="00DD349B"/>
    <w:rsid w:val="00DF6193"/>
    <w:rsid w:val="00E07401"/>
    <w:rsid w:val="00E10100"/>
    <w:rsid w:val="00E14075"/>
    <w:rsid w:val="00E21C1E"/>
    <w:rsid w:val="00E21D90"/>
    <w:rsid w:val="00E242B0"/>
    <w:rsid w:val="00E336D1"/>
    <w:rsid w:val="00E408DE"/>
    <w:rsid w:val="00E46C70"/>
    <w:rsid w:val="00E501EB"/>
    <w:rsid w:val="00E56566"/>
    <w:rsid w:val="00E5798D"/>
    <w:rsid w:val="00E64A9C"/>
    <w:rsid w:val="00E7327B"/>
    <w:rsid w:val="00E740AF"/>
    <w:rsid w:val="00E758FA"/>
    <w:rsid w:val="00E8050C"/>
    <w:rsid w:val="00E869C9"/>
    <w:rsid w:val="00E8793A"/>
    <w:rsid w:val="00E9047B"/>
    <w:rsid w:val="00EA08D1"/>
    <w:rsid w:val="00EA4B46"/>
    <w:rsid w:val="00EB054D"/>
    <w:rsid w:val="00EB2246"/>
    <w:rsid w:val="00EC0505"/>
    <w:rsid w:val="00EC2265"/>
    <w:rsid w:val="00ED1F80"/>
    <w:rsid w:val="00EE71B5"/>
    <w:rsid w:val="00EF05B3"/>
    <w:rsid w:val="00EF231E"/>
    <w:rsid w:val="00F01BC8"/>
    <w:rsid w:val="00F0529D"/>
    <w:rsid w:val="00F12CCF"/>
    <w:rsid w:val="00F14839"/>
    <w:rsid w:val="00F2047E"/>
    <w:rsid w:val="00F309F1"/>
    <w:rsid w:val="00F32787"/>
    <w:rsid w:val="00F3525F"/>
    <w:rsid w:val="00F40C21"/>
    <w:rsid w:val="00F46E20"/>
    <w:rsid w:val="00F55468"/>
    <w:rsid w:val="00F579D0"/>
    <w:rsid w:val="00F6072B"/>
    <w:rsid w:val="00F62FB7"/>
    <w:rsid w:val="00F70911"/>
    <w:rsid w:val="00F7184E"/>
    <w:rsid w:val="00F74624"/>
    <w:rsid w:val="00F769AC"/>
    <w:rsid w:val="00F81824"/>
    <w:rsid w:val="00F84F26"/>
    <w:rsid w:val="00FA605E"/>
    <w:rsid w:val="00FB1069"/>
    <w:rsid w:val="00FC6B9B"/>
    <w:rsid w:val="00FD3235"/>
    <w:rsid w:val="00FE188B"/>
    <w:rsid w:val="00FF17A5"/>
    <w:rsid w:val="00FF24FA"/>
    <w:rsid w:val="00FF3EB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61C08709-45D5-4CC0-BBB3-35994746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spacing w:before="240" w:after="60"/>
      <w:outlineLvl w:val="0"/>
    </w:pPr>
  </w:style>
  <w:style w:type="paragraph" w:styleId="Ttulo3">
    <w:name w:val="heading 3"/>
    <w:basedOn w:val="Normal"/>
    <w:next w:val="Textoindependiente"/>
    <w:qFormat/>
    <w:pPr>
      <w:numPr>
        <w:ilvl w:val="2"/>
        <w:numId w:val="1"/>
      </w:numPr>
      <w:spacing w:before="280" w:after="280"/>
      <w:outlineLvl w:val="2"/>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styleId="Hipervnculo">
    <w:name w:val="Hyperlink"/>
    <w:rPr>
      <w:color w:val="0000FF"/>
      <w:u w:val="single"/>
    </w:rPr>
  </w:style>
  <w:style w:type="character" w:styleId="CitaHTML">
    <w:name w:val="HTML Cite"/>
    <w:rPr>
      <w:i/>
      <w:iCs/>
    </w:rPr>
  </w:style>
  <w:style w:type="character" w:customStyle="1" w:styleId="st">
    <w:name w:val="st"/>
    <w:basedOn w:val="Fuentedeprrafopredeter1"/>
  </w:style>
  <w:style w:type="character" w:styleId="nfasis">
    <w:name w:val="Emphasis"/>
    <w:qFormat/>
    <w:rPr>
      <w:i/>
      <w:iCs/>
    </w:rPr>
  </w:style>
  <w:style w:type="character" w:customStyle="1" w:styleId="Textonotapie1">
    <w:name w:val="Texto nota pie1"/>
    <w:rPr>
      <w:sz w:val="24"/>
      <w:szCs w:val="24"/>
      <w:lang w:val="es-ES" w:eastAsia="ar-SA" w:bidi="ar-SA"/>
    </w:rPr>
  </w:style>
  <w:style w:type="character" w:customStyle="1" w:styleId="Smbolodenotaalpie">
    <w:name w:val="Símbolo de nota al pie"/>
  </w:style>
  <w:style w:type="character" w:customStyle="1" w:styleId="Refdenotaalpie1">
    <w:name w:val="Ref. de nota al pie1"/>
    <w:rPr>
      <w:vertAlign w:val="superscript"/>
    </w:rPr>
  </w:style>
  <w:style w:type="character" w:styleId="Nmerodepgina">
    <w:name w:val="page number"/>
    <w:basedOn w:val="Fuentedeprrafopredeter1"/>
  </w:style>
  <w:style w:type="character" w:customStyle="1" w:styleId="FootnoteCharacters">
    <w:name w:val="Footnote Characters"/>
    <w:rPr>
      <w:vertAlign w:val="superscript"/>
    </w:rPr>
  </w:style>
  <w:style w:type="character" w:customStyle="1" w:styleId="highlight">
    <w:name w:val="highlight"/>
    <w:basedOn w:val="Fuentedeprrafopredeter1"/>
  </w:style>
  <w:style w:type="character" w:customStyle="1" w:styleId="CarCarCarCarCarCarCarCarCar">
    <w:name w:val=" Car Car Car Car Car Car Car Car Car"/>
    <w:rPr>
      <w:rFonts w:eastAsia="Lucida Sans Unicode"/>
      <w:kern w:val="1"/>
      <w:sz w:val="24"/>
      <w:szCs w:val="24"/>
      <w:lang w:val="es-ES_tradnl" w:eastAsia="ar-SA" w:bidi="ar-SA"/>
    </w:rPr>
  </w:style>
  <w:style w:type="character" w:customStyle="1" w:styleId="titulo1">
    <w:name w:val="titulo1"/>
    <w:basedOn w:val="Fuentedeprrafopredeter1"/>
  </w:style>
  <w:style w:type="character" w:styleId="AcrnimoHTML">
    <w:name w:val="HTML Acronym"/>
    <w:basedOn w:val="Fuentedeprrafopredeter1"/>
  </w:style>
  <w:style w:type="character" w:styleId="Refdenotaalpi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efdenotaalfinal">
    <w:name w:val="endnote reference"/>
    <w:rPr>
      <w:vertAlign w:val="superscript"/>
    </w:rPr>
  </w:style>
  <w:style w:type="paragraph" w:customStyle="1" w:styleId="Heading">
    <w:name w:val="Heading"/>
    <w:basedOn w:val="Normal"/>
    <w:next w:val="Textoindependiente"/>
    <w:pPr>
      <w:keepNext/>
      <w:spacing w:before="240" w:after="120"/>
    </w:pPr>
  </w:style>
  <w:style w:type="paragraph" w:styleId="Textoindependiente">
    <w:name w:val="Body Text"/>
    <w:basedOn w:val="Normal"/>
    <w:pPr>
      <w:spacing w:after="120"/>
    </w:pPr>
  </w:style>
  <w:style w:type="paragraph" w:styleId="Lista">
    <w:name w:val="List"/>
    <w:basedOn w:val="Textoindependiente"/>
    <w:rPr>
      <w:rFonts w:cs="Arial"/>
    </w:rPr>
  </w:style>
  <w:style w:type="paragraph" w:customStyle="1" w:styleId="Caption1">
    <w:name w:val="Caption1"/>
    <w:basedOn w:val="Normal"/>
    <w:pPr>
      <w:suppressLineNumbers/>
      <w:spacing w:before="120" w:after="120"/>
    </w:pPr>
  </w:style>
  <w:style w:type="paragraph" w:customStyle="1" w:styleId="Index">
    <w:name w:val="Index"/>
    <w:basedOn w:val="Normal"/>
    <w:pPr>
      <w:suppressLineNumbers/>
    </w:pPr>
    <w:rPr>
      <w:rFonts w:cs="Arial"/>
    </w:rPr>
  </w:style>
  <w:style w:type="paragraph" w:styleId="Textonotapie">
    <w:name w:val="footnote text"/>
    <w:aliases w:val=" Car Car, Car Car Car Car Car Car, Car Car Car Car Car,Car Car,Car Car Car Car Car Car,Car Car Car Car Car,Car Car Car Car Car Car Car Car Car"/>
    <w:basedOn w:val="Normal"/>
    <w:link w:val="TextonotapieCa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itulo">
    <w:name w:val="titulo"/>
    <w:basedOn w:val="Normal"/>
    <w:pPr>
      <w:spacing w:before="280" w:after="280"/>
    </w:pPr>
  </w:style>
  <w:style w:type="paragraph" w:customStyle="1" w:styleId="autores">
    <w:name w:val="autores"/>
    <w:basedOn w:val="Normal"/>
    <w:pPr>
      <w:spacing w:before="280" w:after="280"/>
    </w:pPr>
  </w:style>
  <w:style w:type="paragraph" w:customStyle="1" w:styleId="localizacion">
    <w:name w:val="localizacion"/>
    <w:basedOn w:val="Normal"/>
    <w:pPr>
      <w:spacing w:before="280" w:after="280"/>
    </w:pPr>
  </w:style>
  <w:style w:type="character" w:styleId="Refdecomentario">
    <w:name w:val="annotation reference"/>
    <w:semiHidden/>
    <w:rsid w:val="0052090F"/>
    <w:rPr>
      <w:sz w:val="16"/>
      <w:szCs w:val="16"/>
    </w:rPr>
  </w:style>
  <w:style w:type="paragraph" w:styleId="Textocomentario">
    <w:name w:val="annotation text"/>
    <w:basedOn w:val="Normal"/>
    <w:semiHidden/>
    <w:rsid w:val="0052090F"/>
    <w:rPr>
      <w:sz w:val="20"/>
      <w:szCs w:val="20"/>
    </w:rPr>
  </w:style>
  <w:style w:type="paragraph" w:styleId="Asuntodelcomentario">
    <w:name w:val="annotation subject"/>
    <w:basedOn w:val="Textocomentario"/>
    <w:next w:val="Textocomentario"/>
    <w:semiHidden/>
    <w:rsid w:val="0052090F"/>
    <w:rPr>
      <w:b/>
      <w:bCs/>
    </w:rPr>
  </w:style>
  <w:style w:type="paragraph" w:styleId="Textodeglobo">
    <w:name w:val="Balloon Text"/>
    <w:basedOn w:val="Normal"/>
    <w:semiHidden/>
    <w:rsid w:val="0052090F"/>
    <w:rPr>
      <w:rFonts w:ascii="Tahoma" w:hAnsi="Tahoma" w:cs="Tahoma"/>
      <w:sz w:val="16"/>
      <w:szCs w:val="16"/>
    </w:rPr>
  </w:style>
  <w:style w:type="paragraph" w:customStyle="1" w:styleId="Sombreadomulticolor-nfasis11">
    <w:name w:val="Sombreado multicolor - Énfasis 11"/>
    <w:hidden/>
    <w:uiPriority w:val="71"/>
    <w:unhideWhenUsed/>
    <w:rsid w:val="00D733B4"/>
    <w:rPr>
      <w:sz w:val="24"/>
      <w:szCs w:val="24"/>
      <w:lang w:eastAsia="ar-SA"/>
    </w:rPr>
  </w:style>
  <w:style w:type="paragraph" w:customStyle="1" w:styleId="Revisin1">
    <w:name w:val="Revisión1"/>
    <w:hidden/>
    <w:uiPriority w:val="71"/>
    <w:rsid w:val="009104DE"/>
    <w:rPr>
      <w:sz w:val="24"/>
      <w:szCs w:val="24"/>
      <w:lang w:eastAsia="ar-SA"/>
    </w:rPr>
  </w:style>
  <w:style w:type="character" w:customStyle="1" w:styleId="TextonotapieCar">
    <w:name w:val="Texto nota pie Car"/>
    <w:aliases w:val=" Car Car Car, Car Car Car Car Car Car Car, Car Car Car Car Car Car1,Car Car Car,Car Car Car Car Car Car Car,Car Car Car Car Car Car1,Car Car Car Car Car Car Car Car Car Car"/>
    <w:link w:val="Textonotapie"/>
    <w:semiHidden/>
    <w:rsid w:val="00AB475E"/>
    <w:rPr>
      <w:sz w:val="24"/>
      <w:szCs w:val="24"/>
      <w:lang w:val="es-E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6101</Words>
  <Characters>33559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The reception of paradeigma in the late antiquity</vt:lpstr>
    </vt:vector>
  </TitlesOfParts>
  <Company/>
  <LinksUpToDate>false</LinksUpToDate>
  <CharactersWithSpaces>39581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reception of paradeigma in the late antiquity</dc:title>
  <dc:subject/>
  <dc:creator>M. Carmen Encinas</dc:creator>
  <cp:keywords/>
  <cp:lastModifiedBy>Raul PEREZ</cp:lastModifiedBy>
  <cp:revision>7</cp:revision>
  <cp:lastPrinted>2020-03-02T21:06:00Z</cp:lastPrinted>
  <dcterms:created xsi:type="dcterms:W3CDTF">2024-01-14T15:21:00Z</dcterms:created>
  <dcterms:modified xsi:type="dcterms:W3CDTF">2024-01-14T15:21:00Z</dcterms:modified>
</cp:coreProperties>
</file>