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1A5D1" w14:textId="77777777" w:rsidR="000F529D" w:rsidRPr="00D66BCE" w:rsidRDefault="000F529D" w:rsidP="004B163E">
      <w:pPr>
        <w:spacing w:line="480" w:lineRule="auto"/>
        <w:jc w:val="both"/>
        <w:rPr>
          <w:rFonts w:ascii="Arial" w:hAnsi="Arial" w:cs="Arial"/>
          <w:lang w:val="en-GB"/>
        </w:rPr>
      </w:pPr>
      <w:r w:rsidRPr="00D66BCE">
        <w:rPr>
          <w:rFonts w:ascii="Arial" w:hAnsi="Arial" w:cs="Arial"/>
          <w:b/>
          <w:lang w:val="en-GB"/>
        </w:rPr>
        <w:t>Supplementary material 1.1.</w:t>
      </w:r>
      <w:r w:rsidRPr="00D66BCE">
        <w:rPr>
          <w:rFonts w:ascii="Arial" w:hAnsi="Arial" w:cs="Arial"/>
          <w:lang w:val="en-GB"/>
        </w:rPr>
        <w:t xml:space="preserve"> Characteristics of the enzymes</w:t>
      </w:r>
      <w:r w:rsidR="00CF7EAD" w:rsidRPr="00D66BCE">
        <w:rPr>
          <w:rFonts w:ascii="Arial" w:hAnsi="Arial" w:cs="Arial"/>
          <w:lang w:val="en-GB"/>
        </w:rPr>
        <w:t xml:space="preserve"> and bile salts</w:t>
      </w:r>
      <w:r w:rsidRPr="00D66BCE">
        <w:rPr>
          <w:rFonts w:ascii="Arial" w:hAnsi="Arial" w:cs="Arial"/>
          <w:lang w:val="en-GB"/>
        </w:rPr>
        <w:t xml:space="preserve"> used for the simulated </w:t>
      </w:r>
      <w:r w:rsidRPr="00D66BCE">
        <w:rPr>
          <w:rFonts w:ascii="Arial" w:hAnsi="Arial" w:cs="Arial"/>
          <w:i/>
          <w:lang w:val="en-GB"/>
        </w:rPr>
        <w:t>in vitro</w:t>
      </w:r>
      <w:r w:rsidRPr="00D66BCE">
        <w:rPr>
          <w:rFonts w:ascii="Arial" w:hAnsi="Arial" w:cs="Arial"/>
          <w:lang w:val="en-GB"/>
        </w:rPr>
        <w:t xml:space="preserve"> gastrointestinal digestion as described by the INFOGEST protocol.</w:t>
      </w:r>
    </w:p>
    <w:tbl>
      <w:tblPr>
        <w:tblStyle w:val="Tablaconcuadrcula"/>
        <w:tblW w:w="410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7"/>
        <w:gridCol w:w="1392"/>
        <w:gridCol w:w="1392"/>
        <w:gridCol w:w="1329"/>
        <w:gridCol w:w="1522"/>
      </w:tblGrid>
      <w:tr w:rsidR="00D66BCE" w:rsidRPr="00D66BCE" w14:paraId="557969C4" w14:textId="77777777" w:rsidTr="00D66BCE">
        <w:trPr>
          <w:jc w:val="center"/>
        </w:trPr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325AE" w14:textId="77777777" w:rsidR="00D66BCE" w:rsidRPr="00D66BCE" w:rsidRDefault="00D66BCE" w:rsidP="004B163E">
            <w:pPr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Enzyme</w:t>
            </w:r>
          </w:p>
        </w:tc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96D7C" w14:textId="77777777" w:rsidR="00D66BCE" w:rsidRPr="00D66BCE" w:rsidRDefault="00D66BCE" w:rsidP="004B163E">
            <w:pPr>
              <w:jc w:val="center"/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Commercial name</w:t>
            </w:r>
          </w:p>
        </w:tc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A0FC1" w14:textId="77777777" w:rsidR="00D66BCE" w:rsidRPr="00D66BCE" w:rsidRDefault="00D66BCE" w:rsidP="004B163E">
            <w:pPr>
              <w:jc w:val="center"/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Commercial reference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B3390" w14:textId="77777777" w:rsidR="00D66BCE" w:rsidRPr="00D66BCE" w:rsidRDefault="00D66BCE" w:rsidP="004B163E">
            <w:pPr>
              <w:jc w:val="center"/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Batch number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EA052" w14:textId="77777777" w:rsidR="00D66BCE" w:rsidRPr="00D66BCE" w:rsidRDefault="00D66BCE" w:rsidP="004B163E">
            <w:pPr>
              <w:jc w:val="center"/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Experimental activity (U/mg)</w:t>
            </w:r>
          </w:p>
        </w:tc>
      </w:tr>
      <w:tr w:rsidR="00D66BCE" w:rsidRPr="00D66BCE" w14:paraId="206C3A7A" w14:textId="77777777" w:rsidTr="00D66BCE">
        <w:trPr>
          <w:jc w:val="center"/>
        </w:trPr>
        <w:tc>
          <w:tcPr>
            <w:tcW w:w="964" w:type="pct"/>
            <w:tcBorders>
              <w:top w:val="single" w:sz="4" w:space="0" w:color="auto"/>
            </w:tcBorders>
            <w:vAlign w:val="center"/>
          </w:tcPr>
          <w:p w14:paraId="2DDB6756" w14:textId="77777777" w:rsidR="00D66BCE" w:rsidRPr="00D66BCE" w:rsidRDefault="00D66BCE" w:rsidP="004B163E">
            <w:pPr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Pepsin</w:t>
            </w:r>
          </w:p>
        </w:tc>
        <w:tc>
          <w:tcPr>
            <w:tcW w:w="997" w:type="pct"/>
            <w:tcBorders>
              <w:top w:val="single" w:sz="4" w:space="0" w:color="auto"/>
            </w:tcBorders>
            <w:vAlign w:val="center"/>
          </w:tcPr>
          <w:p w14:paraId="55180DA1" w14:textId="77777777" w:rsidR="00D66BCE" w:rsidRPr="00D66BCE" w:rsidRDefault="00D66BCE" w:rsidP="004B163E">
            <w:pPr>
              <w:jc w:val="center"/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Pepsin from porcine gastric mucosa</w:t>
            </w:r>
          </w:p>
        </w:tc>
        <w:tc>
          <w:tcPr>
            <w:tcW w:w="997" w:type="pct"/>
            <w:tcBorders>
              <w:top w:val="single" w:sz="4" w:space="0" w:color="auto"/>
            </w:tcBorders>
            <w:vAlign w:val="center"/>
          </w:tcPr>
          <w:p w14:paraId="16CFCCF5" w14:textId="77777777" w:rsidR="00D66BCE" w:rsidRPr="00D66BCE" w:rsidRDefault="00D66BCE" w:rsidP="004B163E">
            <w:pPr>
              <w:jc w:val="center"/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P7012</w:t>
            </w:r>
          </w:p>
        </w:tc>
        <w:tc>
          <w:tcPr>
            <w:tcW w:w="952" w:type="pct"/>
            <w:tcBorders>
              <w:top w:val="single" w:sz="4" w:space="0" w:color="auto"/>
            </w:tcBorders>
            <w:vAlign w:val="center"/>
          </w:tcPr>
          <w:p w14:paraId="3CF682F5" w14:textId="77777777" w:rsidR="00D66BCE" w:rsidRPr="00D66BCE" w:rsidRDefault="00D66BCE" w:rsidP="004B163E">
            <w:pPr>
              <w:jc w:val="center"/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SLBW6530</w:t>
            </w: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848197" w14:textId="77777777" w:rsidR="00D66BCE" w:rsidRPr="00D66BCE" w:rsidRDefault="00D66BCE" w:rsidP="004B163E">
            <w:pPr>
              <w:jc w:val="center"/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2639.8</w:t>
            </w:r>
          </w:p>
        </w:tc>
      </w:tr>
      <w:tr w:rsidR="00D66BCE" w:rsidRPr="00D66BCE" w14:paraId="79A2B45D" w14:textId="77777777" w:rsidTr="00D66BCE">
        <w:trPr>
          <w:jc w:val="center"/>
        </w:trPr>
        <w:tc>
          <w:tcPr>
            <w:tcW w:w="964" w:type="pct"/>
            <w:vAlign w:val="center"/>
          </w:tcPr>
          <w:p w14:paraId="730C0BC5" w14:textId="77777777" w:rsidR="00D66BCE" w:rsidRPr="00D66BCE" w:rsidRDefault="00D66BCE" w:rsidP="004B163E">
            <w:pPr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Bile</w:t>
            </w:r>
          </w:p>
        </w:tc>
        <w:tc>
          <w:tcPr>
            <w:tcW w:w="997" w:type="pct"/>
            <w:vAlign w:val="center"/>
          </w:tcPr>
          <w:p w14:paraId="302C8046" w14:textId="77777777" w:rsidR="00D66BCE" w:rsidRPr="00D66BCE" w:rsidRDefault="00D66BCE" w:rsidP="004B163E">
            <w:pPr>
              <w:jc w:val="center"/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Bile extract porcine</w:t>
            </w:r>
          </w:p>
        </w:tc>
        <w:tc>
          <w:tcPr>
            <w:tcW w:w="997" w:type="pct"/>
            <w:vAlign w:val="center"/>
          </w:tcPr>
          <w:p w14:paraId="3641D313" w14:textId="77777777" w:rsidR="00D66BCE" w:rsidRPr="00D66BCE" w:rsidRDefault="00D66BCE" w:rsidP="004B163E">
            <w:pPr>
              <w:jc w:val="center"/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B8631</w:t>
            </w:r>
          </w:p>
        </w:tc>
        <w:tc>
          <w:tcPr>
            <w:tcW w:w="952" w:type="pct"/>
            <w:vAlign w:val="center"/>
          </w:tcPr>
          <w:p w14:paraId="164B4AFC" w14:textId="77777777" w:rsidR="00D66BCE" w:rsidRPr="00D66BCE" w:rsidRDefault="00D66BCE" w:rsidP="004B163E">
            <w:pPr>
              <w:jc w:val="center"/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SLCC9272</w:t>
            </w:r>
          </w:p>
        </w:tc>
        <w:tc>
          <w:tcPr>
            <w:tcW w:w="1090" w:type="pct"/>
            <w:vAlign w:val="center"/>
          </w:tcPr>
          <w:p w14:paraId="46D1CC98" w14:textId="7861B0F0" w:rsidR="00D66BCE" w:rsidRPr="00D66BCE" w:rsidRDefault="00D66BCE" w:rsidP="004B163E">
            <w:pPr>
              <w:jc w:val="center"/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1.3 (mmol/g)</w:t>
            </w:r>
          </w:p>
        </w:tc>
      </w:tr>
      <w:tr w:rsidR="00D66BCE" w:rsidRPr="00D66BCE" w14:paraId="0F7452BE" w14:textId="77777777" w:rsidTr="00D66BCE">
        <w:trPr>
          <w:jc w:val="center"/>
        </w:trPr>
        <w:tc>
          <w:tcPr>
            <w:tcW w:w="964" w:type="pct"/>
            <w:tcBorders>
              <w:bottom w:val="single" w:sz="4" w:space="0" w:color="auto"/>
            </w:tcBorders>
            <w:vAlign w:val="center"/>
          </w:tcPr>
          <w:p w14:paraId="71EE491F" w14:textId="77777777" w:rsidR="00D66BCE" w:rsidRPr="00D66BCE" w:rsidRDefault="00D66BCE" w:rsidP="004B163E">
            <w:pPr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Pancreatin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14:paraId="5D78157C" w14:textId="77777777" w:rsidR="00D66BCE" w:rsidRPr="00D66BCE" w:rsidRDefault="00D66BCE" w:rsidP="004B163E">
            <w:pPr>
              <w:jc w:val="center"/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Pancreatin from porcine pancreas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14:paraId="62DD0D30" w14:textId="77777777" w:rsidR="00D66BCE" w:rsidRPr="00D66BCE" w:rsidRDefault="00D66BCE" w:rsidP="004B163E">
            <w:pPr>
              <w:jc w:val="center"/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P7545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vAlign w:val="center"/>
          </w:tcPr>
          <w:p w14:paraId="554FCDCB" w14:textId="77777777" w:rsidR="00D66BCE" w:rsidRPr="00D66BCE" w:rsidRDefault="00D66BCE" w:rsidP="004B163E">
            <w:pPr>
              <w:jc w:val="center"/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SLCD7175</w:t>
            </w:r>
          </w:p>
        </w:tc>
        <w:tc>
          <w:tcPr>
            <w:tcW w:w="1090" w:type="pct"/>
            <w:tcBorders>
              <w:bottom w:val="single" w:sz="4" w:space="0" w:color="auto"/>
            </w:tcBorders>
            <w:vAlign w:val="center"/>
          </w:tcPr>
          <w:p w14:paraId="3E459BBC" w14:textId="77777777" w:rsidR="00D66BCE" w:rsidRPr="00D66BCE" w:rsidRDefault="00D66BCE" w:rsidP="004B163E">
            <w:pPr>
              <w:jc w:val="center"/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4.45*</w:t>
            </w:r>
          </w:p>
        </w:tc>
      </w:tr>
    </w:tbl>
    <w:p w14:paraId="4655FFDA" w14:textId="77777777" w:rsidR="00AD5A72" w:rsidRPr="00D66BCE" w:rsidRDefault="00AD5A72" w:rsidP="004B163E">
      <w:pPr>
        <w:spacing w:line="480" w:lineRule="auto"/>
        <w:jc w:val="both"/>
        <w:rPr>
          <w:rFonts w:ascii="Arial" w:hAnsi="Arial" w:cs="Arial"/>
          <w:color w:val="000000"/>
          <w:sz w:val="20"/>
          <w:lang w:val="en-GB"/>
        </w:rPr>
      </w:pPr>
      <w:bookmarkStart w:id="0" w:name="_GoBack"/>
      <w:bookmarkEnd w:id="0"/>
      <w:r w:rsidRPr="00D66BCE">
        <w:rPr>
          <w:rFonts w:ascii="Arial" w:hAnsi="Arial" w:cs="Arial"/>
          <w:color w:val="000000"/>
          <w:sz w:val="20"/>
          <w:lang w:val="en-GB"/>
        </w:rPr>
        <w:t>Enzymes and bile were purchased from Sigma-Aldrich (Merck, Zug, Switzerland).</w:t>
      </w:r>
      <w:r w:rsidR="00D749F1" w:rsidRPr="00D66BCE">
        <w:rPr>
          <w:rFonts w:ascii="Arial" w:hAnsi="Arial" w:cs="Arial"/>
          <w:color w:val="000000"/>
          <w:sz w:val="20"/>
          <w:lang w:val="en-GB"/>
        </w:rPr>
        <w:t xml:space="preserve"> </w:t>
      </w:r>
      <w:r w:rsidRPr="00D66BCE">
        <w:rPr>
          <w:rFonts w:ascii="Arial" w:hAnsi="Arial" w:cs="Arial"/>
          <w:color w:val="000000"/>
          <w:sz w:val="20"/>
          <w:lang w:val="en-GB"/>
        </w:rPr>
        <w:t>T</w:t>
      </w:r>
      <w:r w:rsidR="00CF7EAD" w:rsidRPr="00D66BCE">
        <w:rPr>
          <w:rFonts w:ascii="Arial" w:hAnsi="Arial" w:cs="Arial"/>
          <w:color w:val="000000"/>
          <w:sz w:val="20"/>
          <w:lang w:val="en-GB"/>
        </w:rPr>
        <w:t xml:space="preserve">he activity of all enzymes used for digestion assays was previously measured according to INFOGEST protocol guidelines (Brodkorb et al., 2019). </w:t>
      </w:r>
    </w:p>
    <w:p w14:paraId="6C4536DE" w14:textId="5438F480" w:rsidR="00CF7EAD" w:rsidRPr="00D66BCE" w:rsidRDefault="00AD5A72" w:rsidP="004B163E">
      <w:pPr>
        <w:spacing w:line="480" w:lineRule="auto"/>
        <w:jc w:val="both"/>
        <w:rPr>
          <w:rFonts w:ascii="Arial" w:hAnsi="Arial" w:cs="Arial"/>
          <w:color w:val="000000"/>
          <w:sz w:val="20"/>
          <w:lang w:val="en-GB"/>
        </w:rPr>
      </w:pPr>
      <w:r w:rsidRPr="00D66BCE">
        <w:rPr>
          <w:rFonts w:ascii="Arial" w:hAnsi="Arial" w:cs="Arial"/>
          <w:color w:val="000000"/>
          <w:sz w:val="20"/>
          <w:lang w:val="en-GB"/>
        </w:rPr>
        <w:t>*Pancreatin activity was expressed as trypsin activity</w:t>
      </w:r>
      <w:r w:rsidR="00973938" w:rsidRPr="00D66BCE">
        <w:rPr>
          <w:rFonts w:ascii="Arial" w:hAnsi="Arial" w:cs="Arial"/>
          <w:color w:val="000000"/>
          <w:sz w:val="20"/>
          <w:lang w:val="en-GB"/>
        </w:rPr>
        <w:t xml:space="preserve"> using the synthetic substrate p-toluene-sulfonyl-L-arginine methyl ester (TAME) as described by Brodkorb et al. (</w:t>
      </w:r>
      <w:r w:rsidR="00D66BCE" w:rsidRPr="00D66BCE">
        <w:rPr>
          <w:rFonts w:ascii="Arial" w:hAnsi="Arial" w:cs="Arial"/>
          <w:color w:val="000000"/>
          <w:sz w:val="20"/>
          <w:lang w:val="en-GB"/>
        </w:rPr>
        <w:t>2019</w:t>
      </w:r>
      <w:r w:rsidR="00973938" w:rsidRPr="00D66BCE">
        <w:rPr>
          <w:rFonts w:ascii="Arial" w:hAnsi="Arial" w:cs="Arial"/>
          <w:color w:val="000000"/>
          <w:sz w:val="20"/>
          <w:lang w:val="en-GB"/>
        </w:rPr>
        <w:t>)</w:t>
      </w:r>
      <w:r w:rsidRPr="00D66BCE">
        <w:rPr>
          <w:rFonts w:ascii="Arial" w:hAnsi="Arial" w:cs="Arial"/>
          <w:color w:val="000000"/>
          <w:sz w:val="20"/>
          <w:lang w:val="en-GB"/>
        </w:rPr>
        <w:t>.</w:t>
      </w:r>
    </w:p>
    <w:p w14:paraId="3656D956" w14:textId="77777777" w:rsidR="00CF7EAD" w:rsidRPr="00D66BCE" w:rsidRDefault="00CF7EAD" w:rsidP="004B163E">
      <w:pPr>
        <w:spacing w:line="480" w:lineRule="auto"/>
        <w:jc w:val="both"/>
        <w:rPr>
          <w:rFonts w:ascii="Arial" w:hAnsi="Arial" w:cs="Arial"/>
          <w:lang w:val="en-GB"/>
        </w:rPr>
      </w:pPr>
    </w:p>
    <w:p w14:paraId="3CDC874B" w14:textId="77777777" w:rsidR="000F529D" w:rsidRPr="00D66BCE" w:rsidRDefault="000F529D" w:rsidP="004B163E">
      <w:pPr>
        <w:spacing w:line="480" w:lineRule="auto"/>
        <w:jc w:val="both"/>
        <w:rPr>
          <w:rFonts w:ascii="Arial" w:hAnsi="Arial" w:cs="Arial"/>
          <w:lang w:val="en-GB"/>
        </w:rPr>
      </w:pPr>
      <w:r w:rsidRPr="00D66BCE">
        <w:rPr>
          <w:rFonts w:ascii="Arial" w:hAnsi="Arial" w:cs="Arial"/>
          <w:b/>
          <w:lang w:val="en-GB"/>
        </w:rPr>
        <w:t>Supplementary material 1.2.</w:t>
      </w:r>
      <w:r w:rsidRPr="00D66BCE">
        <w:rPr>
          <w:rFonts w:ascii="Arial" w:hAnsi="Arial" w:cs="Arial"/>
          <w:lang w:val="en-GB"/>
        </w:rPr>
        <w:t xml:space="preserve"> Chemical composition of the gastrointestinal fluids used for simulated </w:t>
      </w:r>
      <w:r w:rsidRPr="00D66BCE">
        <w:rPr>
          <w:rFonts w:ascii="Arial" w:hAnsi="Arial" w:cs="Arial"/>
          <w:i/>
          <w:lang w:val="en-GB"/>
        </w:rPr>
        <w:t>in vitro</w:t>
      </w:r>
      <w:r w:rsidRPr="00D66BCE">
        <w:rPr>
          <w:rFonts w:ascii="Arial" w:hAnsi="Arial" w:cs="Arial"/>
          <w:lang w:val="en-GB"/>
        </w:rPr>
        <w:t xml:space="preserve"> gastrointestinal digestion following the INFOGEST protocol. Values in the table correspond to final concentrations of each reagent, expressed as mM.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1687"/>
        <w:gridCol w:w="1698"/>
        <w:gridCol w:w="1675"/>
      </w:tblGrid>
      <w:tr w:rsidR="000F529D" w:rsidRPr="00D66BCE" w14:paraId="04DD65D0" w14:textId="77777777" w:rsidTr="005B45A0">
        <w:trPr>
          <w:jc w:val="center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F13EC" w14:textId="77777777" w:rsidR="000F529D" w:rsidRPr="00D66BCE" w:rsidRDefault="000F529D" w:rsidP="004B163E">
            <w:pPr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Reagent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C301B" w14:textId="77777777" w:rsidR="000F529D" w:rsidRPr="00D66BCE" w:rsidRDefault="000F529D" w:rsidP="004B163E">
            <w:pPr>
              <w:jc w:val="center"/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SSF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E60E3" w14:textId="77777777" w:rsidR="000F529D" w:rsidRPr="00D66BCE" w:rsidRDefault="000F529D" w:rsidP="004B163E">
            <w:pPr>
              <w:jc w:val="center"/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SGF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7BF95" w14:textId="77777777" w:rsidR="000F529D" w:rsidRPr="00D66BCE" w:rsidRDefault="000F529D" w:rsidP="004B163E">
            <w:pPr>
              <w:jc w:val="center"/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SIF</w:t>
            </w:r>
          </w:p>
        </w:tc>
      </w:tr>
      <w:tr w:rsidR="000F529D" w:rsidRPr="00D66BCE" w14:paraId="2F6AC07D" w14:textId="77777777" w:rsidTr="005B45A0">
        <w:trPr>
          <w:jc w:val="center"/>
        </w:trPr>
        <w:tc>
          <w:tcPr>
            <w:tcW w:w="1828" w:type="dxa"/>
            <w:tcBorders>
              <w:top w:val="single" w:sz="4" w:space="0" w:color="auto"/>
            </w:tcBorders>
            <w:vAlign w:val="center"/>
          </w:tcPr>
          <w:p w14:paraId="3C979642" w14:textId="77777777" w:rsidR="000F529D" w:rsidRPr="00D66BCE" w:rsidRDefault="000F529D" w:rsidP="004B163E">
            <w:pPr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KCl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14:paraId="1E6C3693" w14:textId="77777777" w:rsidR="000F529D" w:rsidRPr="00D66BCE" w:rsidRDefault="000F529D" w:rsidP="004B163E">
            <w:pPr>
              <w:jc w:val="center"/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15.1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14:paraId="38765BA7" w14:textId="77777777" w:rsidR="000F529D" w:rsidRPr="00D66BCE" w:rsidRDefault="000F529D" w:rsidP="004B163E">
            <w:pPr>
              <w:jc w:val="center"/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6.9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14:paraId="2FA6DCA0" w14:textId="77777777" w:rsidR="000F529D" w:rsidRPr="00D66BCE" w:rsidRDefault="000F529D" w:rsidP="004B163E">
            <w:pPr>
              <w:jc w:val="center"/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6.8</w:t>
            </w:r>
          </w:p>
        </w:tc>
      </w:tr>
      <w:tr w:rsidR="000F529D" w:rsidRPr="00D66BCE" w14:paraId="53D9C4E3" w14:textId="77777777" w:rsidTr="005B45A0">
        <w:trPr>
          <w:jc w:val="center"/>
        </w:trPr>
        <w:tc>
          <w:tcPr>
            <w:tcW w:w="1828" w:type="dxa"/>
            <w:vAlign w:val="center"/>
          </w:tcPr>
          <w:p w14:paraId="2D675780" w14:textId="77777777" w:rsidR="000F529D" w:rsidRPr="00D66BCE" w:rsidRDefault="000F529D" w:rsidP="004B163E">
            <w:pPr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KH</w:t>
            </w:r>
            <w:r w:rsidRPr="00D66BCE">
              <w:rPr>
                <w:rFonts w:ascii="Arial" w:hAnsi="Arial" w:cs="Arial"/>
                <w:vertAlign w:val="subscript"/>
                <w:lang w:val="en-GB"/>
              </w:rPr>
              <w:t>2</w:t>
            </w:r>
            <w:r w:rsidRPr="00D66BCE">
              <w:rPr>
                <w:rFonts w:ascii="Arial" w:hAnsi="Arial" w:cs="Arial"/>
                <w:lang w:val="en-GB"/>
              </w:rPr>
              <w:t>PO</w:t>
            </w:r>
            <w:r w:rsidRPr="00D66BCE">
              <w:rPr>
                <w:rFonts w:ascii="Arial" w:hAnsi="Arial" w:cs="Arial"/>
                <w:vertAlign w:val="subscript"/>
                <w:lang w:val="en-GB"/>
              </w:rPr>
              <w:t>3</w:t>
            </w:r>
          </w:p>
        </w:tc>
        <w:tc>
          <w:tcPr>
            <w:tcW w:w="1687" w:type="dxa"/>
            <w:vAlign w:val="center"/>
          </w:tcPr>
          <w:p w14:paraId="7094860A" w14:textId="77777777" w:rsidR="000F529D" w:rsidRPr="00D66BCE" w:rsidRDefault="000F529D" w:rsidP="004B163E">
            <w:pPr>
              <w:jc w:val="center"/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3.7</w:t>
            </w:r>
          </w:p>
        </w:tc>
        <w:tc>
          <w:tcPr>
            <w:tcW w:w="1698" w:type="dxa"/>
            <w:vAlign w:val="center"/>
          </w:tcPr>
          <w:p w14:paraId="0CE724D9" w14:textId="77777777" w:rsidR="000F529D" w:rsidRPr="00D66BCE" w:rsidRDefault="000F529D" w:rsidP="004B163E">
            <w:pPr>
              <w:jc w:val="center"/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0.9</w:t>
            </w:r>
          </w:p>
        </w:tc>
        <w:tc>
          <w:tcPr>
            <w:tcW w:w="1675" w:type="dxa"/>
            <w:vAlign w:val="center"/>
          </w:tcPr>
          <w:p w14:paraId="1A7D4C03" w14:textId="77777777" w:rsidR="000F529D" w:rsidRPr="00D66BCE" w:rsidRDefault="000F529D" w:rsidP="004B163E">
            <w:pPr>
              <w:jc w:val="center"/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0.8</w:t>
            </w:r>
          </w:p>
        </w:tc>
      </w:tr>
      <w:tr w:rsidR="000F529D" w:rsidRPr="00D66BCE" w14:paraId="3CC7AB58" w14:textId="77777777" w:rsidTr="005B45A0">
        <w:trPr>
          <w:jc w:val="center"/>
        </w:trPr>
        <w:tc>
          <w:tcPr>
            <w:tcW w:w="1828" w:type="dxa"/>
            <w:vAlign w:val="center"/>
          </w:tcPr>
          <w:p w14:paraId="64632256" w14:textId="77777777" w:rsidR="000F529D" w:rsidRPr="00D66BCE" w:rsidRDefault="000F529D" w:rsidP="004B163E">
            <w:pPr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NaHCO</w:t>
            </w:r>
            <w:r w:rsidRPr="00D66BCE">
              <w:rPr>
                <w:rFonts w:ascii="Arial" w:hAnsi="Arial" w:cs="Arial"/>
                <w:vertAlign w:val="subscript"/>
                <w:lang w:val="en-GB"/>
              </w:rPr>
              <w:t>3</w:t>
            </w:r>
          </w:p>
        </w:tc>
        <w:tc>
          <w:tcPr>
            <w:tcW w:w="1687" w:type="dxa"/>
            <w:vAlign w:val="center"/>
          </w:tcPr>
          <w:p w14:paraId="4A293055" w14:textId="77777777" w:rsidR="000F529D" w:rsidRPr="00D66BCE" w:rsidRDefault="000F529D" w:rsidP="004B163E">
            <w:pPr>
              <w:jc w:val="center"/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13.6</w:t>
            </w:r>
          </w:p>
        </w:tc>
        <w:tc>
          <w:tcPr>
            <w:tcW w:w="1698" w:type="dxa"/>
            <w:vAlign w:val="center"/>
          </w:tcPr>
          <w:p w14:paraId="293006B8" w14:textId="77777777" w:rsidR="000F529D" w:rsidRPr="00D66BCE" w:rsidRDefault="000F529D" w:rsidP="004B163E">
            <w:pPr>
              <w:jc w:val="center"/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25</w:t>
            </w:r>
          </w:p>
        </w:tc>
        <w:tc>
          <w:tcPr>
            <w:tcW w:w="1675" w:type="dxa"/>
            <w:vAlign w:val="center"/>
          </w:tcPr>
          <w:p w14:paraId="327E9284" w14:textId="77777777" w:rsidR="000F529D" w:rsidRPr="00D66BCE" w:rsidRDefault="000F529D" w:rsidP="004B163E">
            <w:pPr>
              <w:jc w:val="center"/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85</w:t>
            </w:r>
          </w:p>
        </w:tc>
      </w:tr>
      <w:tr w:rsidR="000F529D" w:rsidRPr="00D66BCE" w14:paraId="60F3827F" w14:textId="77777777" w:rsidTr="005B45A0">
        <w:trPr>
          <w:jc w:val="center"/>
        </w:trPr>
        <w:tc>
          <w:tcPr>
            <w:tcW w:w="1828" w:type="dxa"/>
            <w:vAlign w:val="center"/>
          </w:tcPr>
          <w:p w14:paraId="53051D31" w14:textId="77777777" w:rsidR="000F529D" w:rsidRPr="00D66BCE" w:rsidRDefault="000F529D" w:rsidP="004B163E">
            <w:pPr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NaCl</w:t>
            </w:r>
          </w:p>
        </w:tc>
        <w:tc>
          <w:tcPr>
            <w:tcW w:w="1687" w:type="dxa"/>
            <w:vAlign w:val="center"/>
          </w:tcPr>
          <w:p w14:paraId="063DD2EC" w14:textId="77777777" w:rsidR="000F529D" w:rsidRPr="00D66BCE" w:rsidRDefault="000F529D" w:rsidP="004B163E">
            <w:pPr>
              <w:jc w:val="center"/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1698" w:type="dxa"/>
            <w:vAlign w:val="center"/>
          </w:tcPr>
          <w:p w14:paraId="0CD14D5A" w14:textId="77777777" w:rsidR="000F529D" w:rsidRPr="00D66BCE" w:rsidRDefault="000F529D" w:rsidP="004B163E">
            <w:pPr>
              <w:jc w:val="center"/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47.2</w:t>
            </w:r>
          </w:p>
        </w:tc>
        <w:tc>
          <w:tcPr>
            <w:tcW w:w="1675" w:type="dxa"/>
            <w:vAlign w:val="center"/>
          </w:tcPr>
          <w:p w14:paraId="54913037" w14:textId="77777777" w:rsidR="000F529D" w:rsidRPr="00D66BCE" w:rsidRDefault="000F529D" w:rsidP="004B163E">
            <w:pPr>
              <w:jc w:val="center"/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38.4</w:t>
            </w:r>
          </w:p>
        </w:tc>
      </w:tr>
      <w:tr w:rsidR="000F529D" w:rsidRPr="00D66BCE" w14:paraId="617B2FD7" w14:textId="77777777" w:rsidTr="005B45A0">
        <w:trPr>
          <w:jc w:val="center"/>
        </w:trPr>
        <w:tc>
          <w:tcPr>
            <w:tcW w:w="1828" w:type="dxa"/>
            <w:vAlign w:val="center"/>
          </w:tcPr>
          <w:p w14:paraId="78E23E24" w14:textId="77777777" w:rsidR="000F529D" w:rsidRPr="00D66BCE" w:rsidRDefault="000F529D" w:rsidP="004B163E">
            <w:pPr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MgCl</w:t>
            </w:r>
            <w:r w:rsidRPr="00D66BCE">
              <w:rPr>
                <w:rFonts w:ascii="Arial" w:hAnsi="Arial" w:cs="Arial"/>
                <w:vertAlign w:val="subscript"/>
                <w:lang w:val="en-GB"/>
              </w:rPr>
              <w:t>2</w:t>
            </w:r>
            <w:r w:rsidRPr="00D66BCE">
              <w:rPr>
                <w:rFonts w:ascii="Arial" w:hAnsi="Arial" w:cs="Arial"/>
                <w:lang w:val="en-GB"/>
              </w:rPr>
              <w:t>(H</w:t>
            </w:r>
            <w:r w:rsidRPr="00D66BCE">
              <w:rPr>
                <w:rFonts w:ascii="Arial" w:hAnsi="Arial" w:cs="Arial"/>
                <w:vertAlign w:val="subscript"/>
                <w:lang w:val="en-GB"/>
              </w:rPr>
              <w:t>2</w:t>
            </w:r>
            <w:r w:rsidRPr="00D66BCE">
              <w:rPr>
                <w:rFonts w:ascii="Arial" w:hAnsi="Arial" w:cs="Arial"/>
                <w:lang w:val="en-GB"/>
              </w:rPr>
              <w:t>O)</w:t>
            </w:r>
            <w:r w:rsidRPr="00D66BCE">
              <w:rPr>
                <w:rFonts w:ascii="Arial" w:hAnsi="Arial" w:cs="Arial"/>
                <w:vertAlign w:val="subscript"/>
                <w:lang w:val="en-GB"/>
              </w:rPr>
              <w:t>6</w:t>
            </w:r>
          </w:p>
        </w:tc>
        <w:tc>
          <w:tcPr>
            <w:tcW w:w="1687" w:type="dxa"/>
            <w:vAlign w:val="center"/>
          </w:tcPr>
          <w:p w14:paraId="1A76DC86" w14:textId="77777777" w:rsidR="000F529D" w:rsidRPr="00D66BCE" w:rsidRDefault="000F529D" w:rsidP="004B163E">
            <w:pPr>
              <w:jc w:val="center"/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0.15</w:t>
            </w:r>
          </w:p>
        </w:tc>
        <w:tc>
          <w:tcPr>
            <w:tcW w:w="1698" w:type="dxa"/>
            <w:vAlign w:val="center"/>
          </w:tcPr>
          <w:p w14:paraId="5CF6B474" w14:textId="77777777" w:rsidR="000F529D" w:rsidRPr="00D66BCE" w:rsidRDefault="000F529D" w:rsidP="004B163E">
            <w:pPr>
              <w:jc w:val="center"/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0.12</w:t>
            </w:r>
          </w:p>
        </w:tc>
        <w:tc>
          <w:tcPr>
            <w:tcW w:w="1675" w:type="dxa"/>
            <w:vAlign w:val="center"/>
          </w:tcPr>
          <w:p w14:paraId="7F75B3AF" w14:textId="77777777" w:rsidR="000F529D" w:rsidRPr="00D66BCE" w:rsidRDefault="000F529D" w:rsidP="004B163E">
            <w:pPr>
              <w:jc w:val="center"/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0.33</w:t>
            </w:r>
          </w:p>
        </w:tc>
      </w:tr>
      <w:tr w:rsidR="000F529D" w:rsidRPr="00D66BCE" w14:paraId="4AA4D7C0" w14:textId="77777777" w:rsidTr="005B45A0">
        <w:trPr>
          <w:jc w:val="center"/>
        </w:trPr>
        <w:tc>
          <w:tcPr>
            <w:tcW w:w="1828" w:type="dxa"/>
            <w:vAlign w:val="center"/>
          </w:tcPr>
          <w:p w14:paraId="4DE74144" w14:textId="77777777" w:rsidR="000F529D" w:rsidRPr="00D66BCE" w:rsidRDefault="000F529D" w:rsidP="004B163E">
            <w:pPr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(NH</w:t>
            </w:r>
            <w:r w:rsidRPr="00D66BCE">
              <w:rPr>
                <w:rFonts w:ascii="Arial" w:hAnsi="Arial" w:cs="Arial"/>
                <w:vertAlign w:val="subscript"/>
                <w:lang w:val="en-GB"/>
              </w:rPr>
              <w:t>4</w:t>
            </w:r>
            <w:r w:rsidRPr="00D66BCE">
              <w:rPr>
                <w:rFonts w:ascii="Arial" w:hAnsi="Arial" w:cs="Arial"/>
                <w:lang w:val="en-GB"/>
              </w:rPr>
              <w:t>)</w:t>
            </w:r>
            <w:r w:rsidRPr="00D66BCE">
              <w:rPr>
                <w:rFonts w:ascii="Arial" w:hAnsi="Arial" w:cs="Arial"/>
                <w:vertAlign w:val="subscript"/>
                <w:lang w:val="en-GB"/>
              </w:rPr>
              <w:t>2</w:t>
            </w:r>
            <w:r w:rsidRPr="00D66BCE">
              <w:rPr>
                <w:rFonts w:ascii="Arial" w:hAnsi="Arial" w:cs="Arial"/>
                <w:lang w:val="en-GB"/>
              </w:rPr>
              <w:t>CO</w:t>
            </w:r>
            <w:r w:rsidRPr="00D66BCE">
              <w:rPr>
                <w:rFonts w:ascii="Arial" w:hAnsi="Arial" w:cs="Arial"/>
                <w:vertAlign w:val="subscript"/>
                <w:lang w:val="en-GB"/>
              </w:rPr>
              <w:t>3</w:t>
            </w:r>
          </w:p>
        </w:tc>
        <w:tc>
          <w:tcPr>
            <w:tcW w:w="1687" w:type="dxa"/>
            <w:vAlign w:val="center"/>
          </w:tcPr>
          <w:p w14:paraId="3BBFB8B4" w14:textId="77777777" w:rsidR="000F529D" w:rsidRPr="00D66BCE" w:rsidRDefault="000F529D" w:rsidP="004B163E">
            <w:pPr>
              <w:jc w:val="center"/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0.06</w:t>
            </w:r>
          </w:p>
        </w:tc>
        <w:tc>
          <w:tcPr>
            <w:tcW w:w="1698" w:type="dxa"/>
            <w:vAlign w:val="center"/>
          </w:tcPr>
          <w:p w14:paraId="451D938D" w14:textId="77777777" w:rsidR="000F529D" w:rsidRPr="00D66BCE" w:rsidRDefault="000F529D" w:rsidP="004B163E">
            <w:pPr>
              <w:jc w:val="center"/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0.5</w:t>
            </w:r>
          </w:p>
        </w:tc>
        <w:tc>
          <w:tcPr>
            <w:tcW w:w="1675" w:type="dxa"/>
            <w:vAlign w:val="center"/>
          </w:tcPr>
          <w:p w14:paraId="1AB270FA" w14:textId="77777777" w:rsidR="000F529D" w:rsidRPr="00D66BCE" w:rsidRDefault="000F529D" w:rsidP="004B163E">
            <w:pPr>
              <w:jc w:val="center"/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-</w:t>
            </w:r>
          </w:p>
        </w:tc>
      </w:tr>
      <w:tr w:rsidR="000F529D" w:rsidRPr="00D66BCE" w14:paraId="165CFA8C" w14:textId="77777777" w:rsidTr="005B45A0">
        <w:trPr>
          <w:jc w:val="center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30F5ABAE" w14:textId="77777777" w:rsidR="000F529D" w:rsidRPr="00D66BCE" w:rsidRDefault="000F529D" w:rsidP="004B163E">
            <w:pPr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pH final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14:paraId="5BC7FE43" w14:textId="77777777" w:rsidR="000F529D" w:rsidRPr="00D66BCE" w:rsidRDefault="000F529D" w:rsidP="004B163E">
            <w:pPr>
              <w:jc w:val="center"/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22723831" w14:textId="77777777" w:rsidR="000F529D" w:rsidRPr="00D66BCE" w:rsidRDefault="000F529D" w:rsidP="004B163E">
            <w:pPr>
              <w:jc w:val="center"/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12E28034" w14:textId="77777777" w:rsidR="000F529D" w:rsidRPr="00D66BCE" w:rsidRDefault="000F529D" w:rsidP="004B163E">
            <w:pPr>
              <w:jc w:val="center"/>
              <w:rPr>
                <w:rFonts w:ascii="Arial" w:hAnsi="Arial" w:cs="Arial"/>
                <w:lang w:val="en-GB"/>
              </w:rPr>
            </w:pPr>
            <w:r w:rsidRPr="00D66BCE">
              <w:rPr>
                <w:rFonts w:ascii="Arial" w:hAnsi="Arial" w:cs="Arial"/>
                <w:lang w:val="en-GB"/>
              </w:rPr>
              <w:t>7</w:t>
            </w:r>
          </w:p>
        </w:tc>
      </w:tr>
    </w:tbl>
    <w:p w14:paraId="0804946B" w14:textId="77777777" w:rsidR="00AD5A72" w:rsidRPr="00D66BCE" w:rsidRDefault="00AD5A72" w:rsidP="004B163E">
      <w:pPr>
        <w:spacing w:line="480" w:lineRule="auto"/>
        <w:jc w:val="both"/>
        <w:rPr>
          <w:rFonts w:ascii="Arial" w:hAnsi="Arial" w:cs="Arial"/>
          <w:sz w:val="20"/>
          <w:lang w:val="en-GB"/>
        </w:rPr>
      </w:pPr>
    </w:p>
    <w:p w14:paraId="32BE9241" w14:textId="77777777" w:rsidR="000F529D" w:rsidRPr="00D66BCE" w:rsidRDefault="000F529D" w:rsidP="004B163E">
      <w:pPr>
        <w:spacing w:line="480" w:lineRule="auto"/>
        <w:jc w:val="both"/>
        <w:rPr>
          <w:rFonts w:ascii="Arial" w:hAnsi="Arial" w:cs="Arial"/>
          <w:sz w:val="20"/>
          <w:lang w:val="en-GB"/>
        </w:rPr>
      </w:pPr>
      <w:r w:rsidRPr="00D66BCE">
        <w:rPr>
          <w:rFonts w:ascii="Arial" w:hAnsi="Arial" w:cs="Arial"/>
          <w:sz w:val="20"/>
          <w:lang w:val="en-GB"/>
        </w:rPr>
        <w:t>SSF: simulated salivary fluid; SGF: simulated gastric fluid; SIF: simulated intestinal fluid.</w:t>
      </w:r>
    </w:p>
    <w:p w14:paraId="53FDA918" w14:textId="77777777" w:rsidR="009A1157" w:rsidRPr="00D66BCE" w:rsidRDefault="009A1157" w:rsidP="004B163E">
      <w:pPr>
        <w:spacing w:line="480" w:lineRule="auto"/>
        <w:jc w:val="both"/>
        <w:rPr>
          <w:rFonts w:ascii="Arial" w:hAnsi="Arial" w:cs="Arial"/>
          <w:b/>
          <w:lang w:val="en-GB"/>
        </w:rPr>
      </w:pPr>
    </w:p>
    <w:p w14:paraId="454CE39F" w14:textId="77777777" w:rsidR="009A1157" w:rsidRPr="00D66BCE" w:rsidRDefault="009A1157" w:rsidP="004B163E">
      <w:pPr>
        <w:spacing w:line="480" w:lineRule="auto"/>
        <w:jc w:val="both"/>
        <w:rPr>
          <w:rFonts w:ascii="Arial" w:hAnsi="Arial" w:cs="Arial"/>
          <w:lang w:val="en-GB"/>
        </w:rPr>
      </w:pPr>
      <w:r w:rsidRPr="00D66BCE">
        <w:rPr>
          <w:rFonts w:ascii="Arial" w:hAnsi="Arial" w:cs="Arial"/>
          <w:b/>
          <w:lang w:val="en-GB"/>
        </w:rPr>
        <w:lastRenderedPageBreak/>
        <w:t>Supplementary material 1.3.</w:t>
      </w:r>
      <w:r w:rsidRPr="00D66BCE">
        <w:rPr>
          <w:rFonts w:ascii="Arial" w:hAnsi="Arial" w:cs="Arial"/>
          <w:lang w:val="en-GB"/>
        </w:rPr>
        <w:t xml:space="preserve"> Calcul</w:t>
      </w:r>
      <w:r w:rsidR="00293716" w:rsidRPr="00D66BCE">
        <w:rPr>
          <w:rFonts w:ascii="Arial" w:hAnsi="Arial" w:cs="Arial"/>
          <w:lang w:val="en-GB"/>
        </w:rPr>
        <w:t xml:space="preserve">ation of </w:t>
      </w:r>
      <w:r w:rsidR="00293716" w:rsidRPr="00D66BCE">
        <w:rPr>
          <w:rFonts w:ascii="Arial" w:hAnsi="Arial" w:cs="Arial"/>
          <w:i/>
          <w:lang w:val="en-GB"/>
        </w:rPr>
        <w:t>in vitro</w:t>
      </w:r>
      <w:r w:rsidR="00293716" w:rsidRPr="00D66BCE">
        <w:rPr>
          <w:rFonts w:ascii="Arial" w:hAnsi="Arial" w:cs="Arial"/>
          <w:lang w:val="en-GB"/>
        </w:rPr>
        <w:t xml:space="preserve"> digestibility and</w:t>
      </w:r>
      <w:r w:rsidRPr="00D66BCE">
        <w:rPr>
          <w:rFonts w:ascii="Arial" w:hAnsi="Arial" w:cs="Arial"/>
          <w:lang w:val="en-GB"/>
        </w:rPr>
        <w:t xml:space="preserve"> DIAAR</w:t>
      </w:r>
      <w:r w:rsidR="00ED4E53" w:rsidRPr="00D66BCE">
        <w:rPr>
          <w:rFonts w:ascii="Arial" w:hAnsi="Arial" w:cs="Arial"/>
          <w:lang w:val="en-GB"/>
        </w:rPr>
        <w:t xml:space="preserve"> (Sousa et al., 2023). </w:t>
      </w:r>
    </w:p>
    <w:p w14:paraId="31C525CD" w14:textId="77777777" w:rsidR="00293716" w:rsidRPr="00D66BCE" w:rsidRDefault="00293716" w:rsidP="004B163E">
      <w:pPr>
        <w:spacing w:line="480" w:lineRule="auto"/>
        <w:jc w:val="both"/>
        <w:rPr>
          <w:rFonts w:ascii="Arial" w:hAnsi="Arial" w:cs="Arial"/>
          <w:lang w:val="en-GB"/>
        </w:rPr>
      </w:pPr>
      <w:r w:rsidRPr="00D66BCE">
        <w:rPr>
          <w:rFonts w:ascii="Arial" w:hAnsi="Arial" w:cs="Arial"/>
          <w:color w:val="000000"/>
          <w:lang w:val="en-GB"/>
        </w:rPr>
        <w:t xml:space="preserve">Total protein </w:t>
      </w:r>
      <w:r w:rsidRPr="00D66BCE">
        <w:rPr>
          <w:rFonts w:ascii="Arial" w:hAnsi="Arial" w:cs="Arial"/>
          <w:i/>
          <w:lang w:val="en-GB"/>
        </w:rPr>
        <w:t xml:space="preserve">in vitro </w:t>
      </w:r>
      <w:r w:rsidRPr="00D66BCE">
        <w:rPr>
          <w:rFonts w:ascii="Arial" w:hAnsi="Arial" w:cs="Arial"/>
          <w:color w:val="000000"/>
          <w:lang w:val="en-GB"/>
        </w:rPr>
        <w:t xml:space="preserve">digestibility was calculated using the sum of individual amino acids (UHPLC) or the amount of primary amines (OPA method) analysed in the supernatants and pellets after </w:t>
      </w:r>
      <w:r w:rsidRPr="00D66BCE">
        <w:rPr>
          <w:rFonts w:ascii="Arial" w:hAnsi="Arial" w:cs="Arial"/>
          <w:i/>
          <w:color w:val="000000"/>
          <w:lang w:val="en-GB"/>
        </w:rPr>
        <w:t xml:space="preserve">in vitro </w:t>
      </w:r>
      <w:r w:rsidRPr="00D66BCE">
        <w:rPr>
          <w:rFonts w:ascii="Arial" w:hAnsi="Arial" w:cs="Arial"/>
          <w:color w:val="000000"/>
          <w:lang w:val="en-GB"/>
        </w:rPr>
        <w:t>digestion. The digestibility of individual amino acids, the digestible indispensable amino acid ratio (DIAAR) and the digestible indispensable amino acid score (DIAAS) were calculated based on individual amino acids (UHPLC).</w:t>
      </w:r>
    </w:p>
    <w:p w14:paraId="7347F78C" w14:textId="77777777" w:rsidR="009A1157" w:rsidRPr="00D66BCE" w:rsidRDefault="00ED4E53" w:rsidP="004B163E">
      <w:pPr>
        <w:spacing w:line="480" w:lineRule="auto"/>
        <w:jc w:val="both"/>
        <w:rPr>
          <w:rFonts w:ascii="Arial" w:hAnsi="Arial" w:cs="Arial"/>
          <w:lang w:val="en-GB"/>
        </w:rPr>
      </w:pPr>
      <w:r w:rsidRPr="00D66BCE">
        <w:rPr>
          <w:rFonts w:ascii="Arial" w:hAnsi="Arial" w:cs="Arial"/>
          <w:lang w:val="en-GB"/>
        </w:rPr>
        <w:t xml:space="preserve">Calculation of digestibility was </w:t>
      </w:r>
      <w:r w:rsidR="00CE632B" w:rsidRPr="00D66BCE">
        <w:rPr>
          <w:rFonts w:ascii="Arial" w:hAnsi="Arial" w:cs="Arial"/>
          <w:lang w:val="en-GB"/>
        </w:rPr>
        <w:t>performed with the total amount of amino acids, primary amines, or individual amino acids in</w:t>
      </w:r>
      <w:r w:rsidR="00C04421" w:rsidRPr="00D66BCE">
        <w:rPr>
          <w:rFonts w:ascii="Arial" w:hAnsi="Arial" w:cs="Arial"/>
          <w:lang w:val="en-GB"/>
        </w:rPr>
        <w:t xml:space="preserve"> food supernatant (Fs), cookie supernatant (Cs), food pellet (Fp) and cookie pellet (Cp), as</w:t>
      </w:r>
      <w:r w:rsidRPr="00D66BCE">
        <w:rPr>
          <w:rFonts w:ascii="Arial" w:hAnsi="Arial" w:cs="Arial"/>
          <w:lang w:val="en-GB"/>
        </w:rPr>
        <w:t xml:space="preserve"> follows:</w:t>
      </w:r>
    </w:p>
    <w:p w14:paraId="2AF09A0A" w14:textId="77777777" w:rsidR="00ED4E53" w:rsidRPr="00D66BCE" w:rsidRDefault="00BC1C38" w:rsidP="004B163E">
      <w:pPr>
        <w:spacing w:line="480" w:lineRule="auto"/>
        <w:jc w:val="both"/>
        <w:rPr>
          <w:rFonts w:eastAsiaTheme="minorEastAsia"/>
          <w:lang w:val="en-GB"/>
        </w:rPr>
      </w:pPr>
      <m:oMathPara>
        <m:oMath>
          <m:r>
            <w:rPr>
              <w:rFonts w:ascii="Cambria Math" w:hAnsi="Cambria Math"/>
              <w:lang w:val="en-GB"/>
            </w:rPr>
            <m:t xml:space="preserve">in vitro digestibility </m:t>
          </m:r>
          <m:d>
            <m:dPr>
              <m:ctrlPr>
                <w:rPr>
                  <w:rFonts w:ascii="Cambria Math" w:hAnsi="Cambria Math"/>
                  <w:i/>
                  <w:lang w:val="en-GB"/>
                </w:rPr>
              </m:ctrlPr>
            </m:dPr>
            <m:e>
              <m:r>
                <w:rPr>
                  <w:rFonts w:ascii="Cambria Math" w:hAnsi="Cambria Math"/>
                  <w:lang w:val="en-GB"/>
                </w:rPr>
                <m:t>%</m:t>
              </m:r>
            </m:e>
          </m:d>
          <m:r>
            <w:rPr>
              <w:rFonts w:ascii="Cambria Math" w:hAnsi="Cambria Math"/>
              <w:lang w:val="en-GB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(Fs-Cs)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GB"/>
                    </w:rPr>
                    <m:t>Fs-Cs</m:t>
                  </m:r>
                </m:e>
              </m:d>
              <m:r>
                <w:rPr>
                  <w:rFonts w:ascii="Cambria Math" w:hAnsi="Cambria Math"/>
                  <w:lang w:val="en-GB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max⁡</m:t>
              </m:r>
              <m:r>
                <w:rPr>
                  <w:rFonts w:ascii="Cambria Math" w:hAnsi="Cambria Math"/>
                  <w:lang w:val="en-GB"/>
                </w:rPr>
                <m:t>(0;Fp-Cp)</m:t>
              </m:r>
            </m:den>
          </m:f>
          <m:r>
            <w:rPr>
              <w:rFonts w:ascii="Cambria Math" w:hAnsi="Cambria Math"/>
              <w:lang w:val="en-GB"/>
            </w:rPr>
            <m:t>×100</m:t>
          </m:r>
        </m:oMath>
      </m:oMathPara>
    </w:p>
    <w:p w14:paraId="6B5245ED" w14:textId="77777777" w:rsidR="00CE632B" w:rsidRPr="00D66BCE" w:rsidRDefault="00C04421" w:rsidP="004B163E">
      <w:pPr>
        <w:spacing w:line="480" w:lineRule="auto"/>
        <w:jc w:val="both"/>
        <w:rPr>
          <w:rFonts w:ascii="Arial" w:hAnsi="Arial" w:cs="Arial"/>
          <w:lang w:val="en-US"/>
        </w:rPr>
      </w:pPr>
      <w:r w:rsidRPr="00D66BCE">
        <w:rPr>
          <w:rFonts w:ascii="Arial" w:hAnsi="Arial" w:cs="Arial"/>
          <w:i/>
          <w:lang w:val="en-US"/>
        </w:rPr>
        <w:t xml:space="preserve">In vitro </w:t>
      </w:r>
      <w:r w:rsidR="00B752A7" w:rsidRPr="00D66BCE">
        <w:rPr>
          <w:rFonts w:ascii="Arial" w:hAnsi="Arial" w:cs="Arial"/>
          <w:lang w:val="en-US"/>
        </w:rPr>
        <w:t>DIAAR</w:t>
      </w:r>
      <w:r w:rsidRPr="00D66BCE">
        <w:rPr>
          <w:rFonts w:ascii="Arial" w:hAnsi="Arial" w:cs="Arial"/>
          <w:lang w:val="en-US"/>
        </w:rPr>
        <w:t xml:space="preserve"> </w:t>
      </w:r>
      <w:r w:rsidR="00B22B68" w:rsidRPr="00D66BCE">
        <w:rPr>
          <w:rFonts w:ascii="Arial" w:hAnsi="Arial" w:cs="Arial"/>
          <w:lang w:val="en-US"/>
        </w:rPr>
        <w:t>is the result from the relation between</w:t>
      </w:r>
      <w:r w:rsidR="008E6821" w:rsidRPr="00D66BCE">
        <w:rPr>
          <w:rFonts w:ascii="Arial" w:hAnsi="Arial" w:cs="Arial"/>
          <w:lang w:val="en-US"/>
        </w:rPr>
        <w:t xml:space="preserve"> the indispensable amino acid (IAA) content of food (mg IAA </w:t>
      </w:r>
      <w:r w:rsidR="008E6821" w:rsidRPr="00D66BCE">
        <w:rPr>
          <w:rFonts w:ascii="Arial" w:hAnsi="Arial" w:cs="Arial"/>
          <w:i/>
          <w:lang w:val="en-US"/>
        </w:rPr>
        <w:t>per</w:t>
      </w:r>
      <w:r w:rsidR="008E6821" w:rsidRPr="00D66BCE">
        <w:rPr>
          <w:rFonts w:ascii="Arial" w:hAnsi="Arial" w:cs="Arial"/>
          <w:lang w:val="en-US"/>
        </w:rPr>
        <w:t xml:space="preserve"> g protein)</w:t>
      </w:r>
      <w:r w:rsidR="005F7F00" w:rsidRPr="00D66BCE">
        <w:rPr>
          <w:rFonts w:ascii="Arial" w:hAnsi="Arial" w:cs="Arial"/>
          <w:lang w:val="en-US"/>
        </w:rPr>
        <w:t xml:space="preserve"> relative to its digestibility (%), and the daily reference requirements (mg IAA </w:t>
      </w:r>
      <w:r w:rsidR="005F7F00" w:rsidRPr="00D66BCE">
        <w:rPr>
          <w:rFonts w:ascii="Arial" w:hAnsi="Arial" w:cs="Arial"/>
          <w:i/>
          <w:lang w:val="en-US"/>
        </w:rPr>
        <w:t>per</w:t>
      </w:r>
      <w:r w:rsidR="005F7F00" w:rsidRPr="00D66BCE">
        <w:rPr>
          <w:rFonts w:ascii="Arial" w:hAnsi="Arial" w:cs="Arial"/>
          <w:lang w:val="en-US"/>
        </w:rPr>
        <w:t xml:space="preserve"> g protein) based on specifications by FAO (2013) for infant, child and adult nutrition. DIAAR is calculated following this formula:</w:t>
      </w:r>
    </w:p>
    <w:p w14:paraId="4E517C33" w14:textId="77777777" w:rsidR="00C04421" w:rsidRPr="00D66BCE" w:rsidRDefault="00C04421" w:rsidP="004B163E">
      <w:pPr>
        <w:spacing w:line="480" w:lineRule="auto"/>
        <w:jc w:val="both"/>
        <w:rPr>
          <w:rFonts w:ascii="Arial" w:hAnsi="Arial" w:cs="Arial"/>
          <w:lang w:val="en-US"/>
        </w:rPr>
      </w:pPr>
      <m:oMathPara>
        <m:oMath>
          <m:r>
            <w:rPr>
              <w:rFonts w:ascii="Cambria Math" w:hAnsi="Cambria Math" w:cs="Arial"/>
              <w:lang w:val="en-US"/>
            </w:rPr>
            <m:t xml:space="preserve">in vitro DIAAR </m:t>
          </m:r>
          <m:d>
            <m:dPr>
              <m:ctrlPr>
                <w:rPr>
                  <w:rFonts w:ascii="Cambria Math" w:hAnsi="Cambria Math" w:cs="Arial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lang w:val="en-US"/>
                </w:rPr>
                <m:t>%</m:t>
              </m:r>
            </m:e>
          </m:d>
          <m:r>
            <w:rPr>
              <w:rFonts w:ascii="Cambria Math" w:hAnsi="Cambria Math" w:cs="Arial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lang w:val="en-US"/>
                </w:rPr>
              </m:ctrlPr>
            </m:fPr>
            <m:num>
              <m:f>
                <m:fPr>
                  <m:type m:val="skw"/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n-US"/>
                    </w:rPr>
                    <m:t>mg IAA</m:t>
                  </m:r>
                </m:num>
                <m:den>
                  <m:r>
                    <w:rPr>
                      <w:rFonts w:ascii="Cambria Math" w:hAnsi="Cambria Math" w:cs="Arial"/>
                      <w:lang w:val="en-US"/>
                    </w:rPr>
                    <m:t>g protein in food</m:t>
                  </m:r>
                </m:den>
              </m:f>
              <m:r>
                <w:rPr>
                  <w:rFonts w:ascii="Cambria Math" w:hAnsi="Cambria Math" w:cs="Arial"/>
                  <w:lang w:val="en-US"/>
                </w:rPr>
                <m:t>×IAA in vitro digestibility</m:t>
              </m:r>
            </m:num>
            <m:den>
              <m:r>
                <w:rPr>
                  <w:rFonts w:ascii="Cambria Math" w:hAnsi="Cambria Math" w:cs="Arial"/>
                  <w:lang w:val="en-US"/>
                </w:rPr>
                <m:t xml:space="preserve">daily requirements of </m:t>
              </m:r>
              <m:f>
                <m:fPr>
                  <m:type m:val="skw"/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n-US"/>
                    </w:rPr>
                    <m:t>mg IAA</m:t>
                  </m:r>
                </m:num>
                <m:den>
                  <m:r>
                    <w:rPr>
                      <w:rFonts w:ascii="Cambria Math" w:hAnsi="Cambria Math" w:cs="Arial"/>
                      <w:lang w:val="en-US"/>
                    </w:rPr>
                    <m:t>g protein</m:t>
                  </m:r>
                </m:den>
              </m:f>
            </m:den>
          </m:f>
        </m:oMath>
      </m:oMathPara>
    </w:p>
    <w:p w14:paraId="271687F8" w14:textId="77777777" w:rsidR="005F7F00" w:rsidRPr="00D66BCE" w:rsidRDefault="00C74A90" w:rsidP="004B163E">
      <w:pPr>
        <w:spacing w:line="480" w:lineRule="auto"/>
        <w:jc w:val="both"/>
        <w:rPr>
          <w:rFonts w:ascii="Arial" w:hAnsi="Arial" w:cs="Arial"/>
          <w:lang w:val="en-US"/>
        </w:rPr>
      </w:pPr>
      <w:r w:rsidRPr="00D66BCE">
        <w:rPr>
          <w:rFonts w:ascii="Arial" w:hAnsi="Arial" w:cs="Arial"/>
          <w:i/>
          <w:color w:val="000000"/>
          <w:lang w:val="en-GB"/>
        </w:rPr>
        <w:t xml:space="preserve">In vitro </w:t>
      </w:r>
      <w:r w:rsidR="00B752A7" w:rsidRPr="00D66BCE">
        <w:rPr>
          <w:rFonts w:ascii="Arial" w:hAnsi="Arial" w:cs="Arial"/>
          <w:lang w:val="en-US"/>
        </w:rPr>
        <w:t>DIAAS</w:t>
      </w:r>
      <w:r w:rsidRPr="00D66BCE">
        <w:rPr>
          <w:rFonts w:ascii="Arial" w:hAnsi="Arial" w:cs="Arial"/>
          <w:lang w:val="en-US"/>
        </w:rPr>
        <w:t xml:space="preserve"> is the lowest DIAAR of a sample, and the IAA corresponding to the DIAAS is considered the limiting amino acid of the </w:t>
      </w:r>
      <w:r w:rsidR="00D5017C" w:rsidRPr="00D66BCE">
        <w:rPr>
          <w:rFonts w:ascii="Arial" w:hAnsi="Arial" w:cs="Arial"/>
          <w:lang w:val="en-US"/>
        </w:rPr>
        <w:t xml:space="preserve">food </w:t>
      </w:r>
      <w:r w:rsidRPr="00D66BCE">
        <w:rPr>
          <w:rFonts w:ascii="Arial" w:hAnsi="Arial" w:cs="Arial"/>
          <w:lang w:val="en-US"/>
        </w:rPr>
        <w:t>sample.</w:t>
      </w:r>
    </w:p>
    <w:p w14:paraId="266B0DF6" w14:textId="77777777" w:rsidR="005B45A0" w:rsidRPr="00D66BCE" w:rsidRDefault="005B45A0" w:rsidP="004B163E">
      <w:pPr>
        <w:spacing w:line="480" w:lineRule="auto"/>
        <w:jc w:val="both"/>
        <w:rPr>
          <w:rFonts w:ascii="Arial" w:hAnsi="Arial" w:cs="Arial"/>
          <w:lang w:val="en-US"/>
        </w:rPr>
      </w:pPr>
    </w:p>
    <w:p w14:paraId="74035A2D" w14:textId="557FE30F" w:rsidR="005B45A0" w:rsidRPr="00D66BCE" w:rsidRDefault="005B45A0" w:rsidP="004B163E">
      <w:pPr>
        <w:spacing w:line="480" w:lineRule="auto"/>
        <w:jc w:val="both"/>
        <w:rPr>
          <w:rFonts w:ascii="Arial" w:hAnsi="Arial" w:cs="Arial"/>
          <w:lang w:val="en-GB"/>
        </w:rPr>
      </w:pPr>
      <w:r w:rsidRPr="00D66BCE">
        <w:rPr>
          <w:rFonts w:ascii="Arial" w:hAnsi="Arial" w:cs="Arial"/>
          <w:b/>
          <w:lang w:val="en-GB"/>
        </w:rPr>
        <w:t>Supplementary material 1.4.</w:t>
      </w:r>
      <w:r w:rsidRPr="00D66BCE">
        <w:rPr>
          <w:rFonts w:ascii="Arial" w:hAnsi="Arial" w:cs="Arial"/>
          <w:lang w:val="en-GB"/>
        </w:rPr>
        <w:t xml:space="preserve"> Digestibility of individual mare milk amino acids expressed as percentage (%).</w:t>
      </w:r>
      <w:r w:rsidR="00973938" w:rsidRPr="00D66BCE">
        <w:rPr>
          <w:rFonts w:ascii="Arial" w:hAnsi="Arial" w:cs="Arial"/>
          <w:lang w:val="en-GB"/>
        </w:rPr>
        <w:t xml:space="preserve"> </w:t>
      </w:r>
      <w:r w:rsidRPr="00D66BCE">
        <w:rPr>
          <w:rFonts w:ascii="Arial" w:hAnsi="Arial" w:cs="Arial"/>
          <w:lang w:val="en-GB"/>
        </w:rPr>
        <w:t xml:space="preserve">Numbers above the bars represent the mean digestibility % for each amino acid. Error bars represent standard deviation. ALA: alanine, ARG: arginine, ASP: aspartic acid, CYS: cysteine, GLU: glutamic acid, GLY: glycine, HIS: histidine, ILE: </w:t>
      </w:r>
      <w:r w:rsidRPr="00D66BCE">
        <w:rPr>
          <w:rFonts w:ascii="Arial" w:hAnsi="Arial" w:cs="Arial"/>
          <w:lang w:val="en-GB"/>
        </w:rPr>
        <w:lastRenderedPageBreak/>
        <w:t>isoleucine, LEU: leucine, LYS: lysine, MET: methionine, PHE: phenylalanine, PRO: proline, SER: serine, THR: threonine, TRP: tryptophan, TYR: tyrosine, VAL: valine.</w:t>
      </w:r>
    </w:p>
    <w:p w14:paraId="3FA758F3" w14:textId="77777777" w:rsidR="005B45A0" w:rsidRPr="004B163E" w:rsidRDefault="005B45A0" w:rsidP="004B163E">
      <w:pPr>
        <w:spacing w:line="480" w:lineRule="auto"/>
        <w:jc w:val="both"/>
        <w:rPr>
          <w:rFonts w:ascii="Arial" w:hAnsi="Arial" w:cs="Arial"/>
          <w:lang w:val="en-GB"/>
        </w:rPr>
      </w:pPr>
      <w:r w:rsidRPr="00D66BCE">
        <w:rPr>
          <w:noProof/>
          <w:lang w:eastAsia="es-ES"/>
        </w:rPr>
        <w:drawing>
          <wp:inline distT="0" distB="0" distL="0" distR="0" wp14:anchorId="120C2BA3" wp14:editId="77F2B905">
            <wp:extent cx="5400040" cy="29921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45A0" w:rsidRPr="004B163E" w:rsidSect="0001797B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F18DE" w16cex:dateUtc="2024-02-08T08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3B92E7" w16cid:durableId="296F18D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86"/>
    <w:rsid w:val="0001797B"/>
    <w:rsid w:val="00043942"/>
    <w:rsid w:val="00072CC2"/>
    <w:rsid w:val="0008712A"/>
    <w:rsid w:val="00093076"/>
    <w:rsid w:val="00093EC9"/>
    <w:rsid w:val="000A3E37"/>
    <w:rsid w:val="000C78B4"/>
    <w:rsid w:val="000F529D"/>
    <w:rsid w:val="000F5B47"/>
    <w:rsid w:val="00100A9F"/>
    <w:rsid w:val="00191C56"/>
    <w:rsid w:val="00246087"/>
    <w:rsid w:val="00293716"/>
    <w:rsid w:val="00315115"/>
    <w:rsid w:val="003239ED"/>
    <w:rsid w:val="00355054"/>
    <w:rsid w:val="003C0C7A"/>
    <w:rsid w:val="003C6CB8"/>
    <w:rsid w:val="004348DA"/>
    <w:rsid w:val="004A6FD3"/>
    <w:rsid w:val="004B163E"/>
    <w:rsid w:val="00571A42"/>
    <w:rsid w:val="005B45A0"/>
    <w:rsid w:val="005F7F00"/>
    <w:rsid w:val="006E005E"/>
    <w:rsid w:val="0077450E"/>
    <w:rsid w:val="00787F85"/>
    <w:rsid w:val="0085605A"/>
    <w:rsid w:val="0089101B"/>
    <w:rsid w:val="008A3875"/>
    <w:rsid w:val="008E6821"/>
    <w:rsid w:val="008E739E"/>
    <w:rsid w:val="00973938"/>
    <w:rsid w:val="009A1157"/>
    <w:rsid w:val="009A2E7A"/>
    <w:rsid w:val="00AD5A72"/>
    <w:rsid w:val="00B22B68"/>
    <w:rsid w:val="00B70C45"/>
    <w:rsid w:val="00B752A7"/>
    <w:rsid w:val="00BC1C38"/>
    <w:rsid w:val="00C04421"/>
    <w:rsid w:val="00C0775B"/>
    <w:rsid w:val="00C220C3"/>
    <w:rsid w:val="00C62A49"/>
    <w:rsid w:val="00C66A60"/>
    <w:rsid w:val="00C74A90"/>
    <w:rsid w:val="00C849ED"/>
    <w:rsid w:val="00CA3957"/>
    <w:rsid w:val="00CE632B"/>
    <w:rsid w:val="00CE7920"/>
    <w:rsid w:val="00CF7EAD"/>
    <w:rsid w:val="00D5017C"/>
    <w:rsid w:val="00D5312F"/>
    <w:rsid w:val="00D66BCE"/>
    <w:rsid w:val="00D749F1"/>
    <w:rsid w:val="00DF139E"/>
    <w:rsid w:val="00E916EC"/>
    <w:rsid w:val="00EA76C8"/>
    <w:rsid w:val="00ED4E53"/>
    <w:rsid w:val="00F32A00"/>
    <w:rsid w:val="00F66586"/>
    <w:rsid w:val="00F91178"/>
    <w:rsid w:val="00FA1309"/>
    <w:rsid w:val="00FE0A96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EBA7"/>
  <w15:chartTrackingRefBased/>
  <w15:docId w15:val="{19822EFA-DCA8-4891-9B19-0F8D8D13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6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6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FD3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D4E53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5B45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45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5B45A0"/>
    <w:rPr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01797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39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39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4EDB3-28D6-4F98-A8D5-213ADB35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BLANCO</dc:creator>
  <cp:keywords/>
  <dc:description/>
  <cp:lastModifiedBy>Ana BLANCO</cp:lastModifiedBy>
  <cp:revision>24</cp:revision>
  <dcterms:created xsi:type="dcterms:W3CDTF">2024-01-23T12:19:00Z</dcterms:created>
  <dcterms:modified xsi:type="dcterms:W3CDTF">2024-02-08T08:29:00Z</dcterms:modified>
</cp:coreProperties>
</file>